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4B" w:rsidRDefault="00CC494B" w:rsidP="00396361">
      <w:pPr>
        <w:tabs>
          <w:tab w:val="left" w:pos="7470"/>
        </w:tabs>
        <w:jc w:val="both"/>
        <w:rPr>
          <w:b/>
        </w:rPr>
      </w:pPr>
    </w:p>
    <w:p w:rsidR="009E69BF" w:rsidRDefault="009E69BF" w:rsidP="00396361">
      <w:pPr>
        <w:tabs>
          <w:tab w:val="left" w:pos="7470"/>
        </w:tabs>
        <w:jc w:val="both"/>
        <w:rPr>
          <w:b/>
        </w:rPr>
      </w:pPr>
      <w:r>
        <w:rPr>
          <w:b/>
        </w:rPr>
        <w:t xml:space="preserve">NOTES TO THE QUARTERLY FINANCIAL REPORT </w:t>
      </w:r>
    </w:p>
    <w:p w:rsidR="008C1900" w:rsidRDefault="009E69BF" w:rsidP="00535F77">
      <w:pPr>
        <w:jc w:val="both"/>
        <w:rPr>
          <w:b/>
        </w:rPr>
      </w:pPr>
      <w:r>
        <w:rPr>
          <w:b/>
        </w:rPr>
        <w:t>FOR THE PERIOD ENDED 3</w:t>
      </w:r>
      <w:r w:rsidR="00704CA2">
        <w:rPr>
          <w:b/>
        </w:rPr>
        <w:t xml:space="preserve">0 </w:t>
      </w:r>
      <w:r w:rsidR="0096327E">
        <w:rPr>
          <w:b/>
        </w:rPr>
        <w:t>SEPTEMBER</w:t>
      </w:r>
      <w:r w:rsidR="005E1309">
        <w:rPr>
          <w:b/>
        </w:rPr>
        <w:t xml:space="preserve"> 201</w:t>
      </w:r>
      <w:r w:rsidR="00555F03">
        <w:rPr>
          <w:b/>
        </w:rPr>
        <w:t>5</w:t>
      </w:r>
    </w:p>
    <w:p w:rsidR="00C563F6" w:rsidRDefault="00C563F6" w:rsidP="00C563F6">
      <w:pPr>
        <w:jc w:val="both"/>
        <w:rPr>
          <w:b/>
        </w:rPr>
      </w:pPr>
    </w:p>
    <w:p w:rsidR="003643F8" w:rsidRDefault="003643F8" w:rsidP="00C563F6">
      <w:pPr>
        <w:jc w:val="both"/>
        <w:rPr>
          <w:b/>
        </w:rPr>
      </w:pPr>
    </w:p>
    <w:p w:rsidR="009E69BF" w:rsidRDefault="009E69BF">
      <w:pPr>
        <w:jc w:val="both"/>
      </w:pPr>
      <w:r>
        <w:t xml:space="preserve">1. </w:t>
      </w:r>
      <w:r>
        <w:tab/>
      </w:r>
      <w:r>
        <w:rPr>
          <w:b/>
          <w:bCs/>
        </w:rPr>
        <w:t>Basis of Preparation</w:t>
      </w:r>
      <w:r w:rsidR="00DC5903">
        <w:rPr>
          <w:b/>
          <w:bCs/>
        </w:rPr>
        <w:t xml:space="preserve"> </w:t>
      </w:r>
    </w:p>
    <w:p w:rsidR="009E69BF" w:rsidRDefault="009E69BF">
      <w:pPr>
        <w:jc w:val="both"/>
      </w:pPr>
    </w:p>
    <w:p w:rsidR="009E69BF" w:rsidRDefault="009E69BF" w:rsidP="00FD5FB8">
      <w:pPr>
        <w:ind w:left="720" w:hanging="720"/>
        <w:jc w:val="both"/>
      </w:pPr>
      <w:r>
        <w:tab/>
        <w:t xml:space="preserve">The </w:t>
      </w:r>
      <w:r w:rsidR="00FD5FB8">
        <w:t>condensed financial statements are</w:t>
      </w:r>
      <w:r w:rsidR="004A5E76">
        <w:t xml:space="preserve"> </w:t>
      </w:r>
      <w:r>
        <w:t>unaudited and ha</w:t>
      </w:r>
      <w:r w:rsidR="00FD5FB8">
        <w:t>ve</w:t>
      </w:r>
      <w:r>
        <w:t xml:space="preserve"> been prepared in </w:t>
      </w:r>
      <w:r w:rsidR="00FD5FB8">
        <w:t>accordance with the requirements of Malaysian Financial Reporting Standard (“MFRS”)</w:t>
      </w:r>
      <w:r w:rsidR="005C5597">
        <w:t xml:space="preserve"> </w:t>
      </w:r>
      <w:r>
        <w:t xml:space="preserve">134: Interim Financial Reporting </w:t>
      </w:r>
      <w:r w:rsidR="00FD5FB8">
        <w:t>issued by the Malaysian Accounting Standard Board (“</w:t>
      </w:r>
      <w:smartTag w:uri="urn:schemas-microsoft-com:office:smarttags" w:element="stockticker">
        <w:r w:rsidR="00FD5FB8">
          <w:t>MASB</w:t>
        </w:r>
      </w:smartTag>
      <w:r w:rsidR="00FD5FB8">
        <w:t xml:space="preserve">”) </w:t>
      </w:r>
      <w:r>
        <w:t xml:space="preserve">and paragraph 9.22 of the </w:t>
      </w:r>
      <w:r w:rsidR="00FD5FB8">
        <w:t xml:space="preserve">Main Market </w:t>
      </w:r>
      <w:r>
        <w:t xml:space="preserve">Listing Requirements of Bursa Malaysia Securities </w:t>
      </w:r>
      <w:proofErr w:type="spellStart"/>
      <w:r>
        <w:t>Berhad</w:t>
      </w:r>
      <w:proofErr w:type="spellEnd"/>
      <w:r w:rsidR="00FD5FB8">
        <w:t xml:space="preserve"> (“Bursa Malaysia)</w:t>
      </w:r>
      <w:r>
        <w:t>.</w:t>
      </w:r>
    </w:p>
    <w:p w:rsidR="009E69BF" w:rsidRDefault="009E69BF">
      <w:pPr>
        <w:ind w:left="720" w:hanging="720"/>
        <w:jc w:val="both"/>
      </w:pPr>
    </w:p>
    <w:p w:rsidR="009E69BF" w:rsidRDefault="00FD5FB8" w:rsidP="005C5597">
      <w:pPr>
        <w:ind w:left="720" w:hanging="720"/>
        <w:jc w:val="both"/>
      </w:pPr>
      <w:r>
        <w:tab/>
      </w:r>
      <w:r w:rsidR="009E69BF">
        <w:t xml:space="preserve">The interim financial </w:t>
      </w:r>
      <w:r>
        <w:t>statements</w:t>
      </w:r>
      <w:r w:rsidR="009E69BF">
        <w:t xml:space="preserve"> should be read in conjunction with</w:t>
      </w:r>
      <w:r>
        <w:t xml:space="preserve"> </w:t>
      </w:r>
      <w:r w:rsidR="009E69BF">
        <w:t>the audited financial</w:t>
      </w:r>
      <w:r w:rsidR="005C5597">
        <w:t xml:space="preserve"> statements</w:t>
      </w:r>
      <w:r w:rsidR="009E69BF">
        <w:t xml:space="preserve"> of the Group for the year ended 31 December 20</w:t>
      </w:r>
      <w:r w:rsidR="00C563F6">
        <w:t>1</w:t>
      </w:r>
      <w:r w:rsidR="00555F03">
        <w:t>4</w:t>
      </w:r>
      <w:r w:rsidR="009E69BF">
        <w:t>.</w:t>
      </w:r>
      <w:r>
        <w:t xml:space="preserve"> These explanatory notes attached </w:t>
      </w:r>
      <w:r w:rsidR="008846A5">
        <w:t xml:space="preserve">to the interim financial statements provide an explanation of events and transactions that are significant to the understanding of the changes in the financial position and performance of the Group since the </w:t>
      </w:r>
      <w:r w:rsidR="003643F8">
        <w:t xml:space="preserve">financial </w:t>
      </w:r>
      <w:r w:rsidR="008846A5">
        <w:t>year ended 31 December 201</w:t>
      </w:r>
      <w:r w:rsidR="00555F03">
        <w:t>4</w:t>
      </w:r>
      <w:r w:rsidR="008846A5">
        <w:t>.</w:t>
      </w:r>
    </w:p>
    <w:p w:rsidR="00585A71" w:rsidRDefault="00585A71" w:rsidP="00FD5FB8">
      <w:pPr>
        <w:ind w:left="720" w:hanging="720"/>
        <w:jc w:val="both"/>
      </w:pPr>
    </w:p>
    <w:p w:rsidR="003643F8" w:rsidRDefault="003643F8" w:rsidP="00FD5FB8">
      <w:pPr>
        <w:ind w:left="720" w:hanging="720"/>
        <w:jc w:val="both"/>
      </w:pPr>
    </w:p>
    <w:p w:rsidR="00E35F2C" w:rsidRDefault="00E35F2C" w:rsidP="00FD5FB8">
      <w:pPr>
        <w:ind w:left="720" w:hanging="720"/>
        <w:jc w:val="both"/>
      </w:pPr>
    </w:p>
    <w:p w:rsidR="00112425" w:rsidRDefault="00EA1258" w:rsidP="003A7970">
      <w:pPr>
        <w:numPr>
          <w:ilvl w:val="0"/>
          <w:numId w:val="14"/>
        </w:numPr>
        <w:tabs>
          <w:tab w:val="clear" w:pos="1080"/>
        </w:tabs>
        <w:ind w:left="90" w:firstLine="0"/>
        <w:jc w:val="both"/>
      </w:pPr>
      <w:r w:rsidRPr="00EA1258">
        <w:rPr>
          <w:b/>
          <w:bCs/>
        </w:rPr>
        <w:t>Significant</w:t>
      </w:r>
      <w:r>
        <w:t xml:space="preserve"> </w:t>
      </w:r>
      <w:r w:rsidR="00112425" w:rsidRPr="00112425">
        <w:rPr>
          <w:b/>
        </w:rPr>
        <w:t>Accounting Polic</w:t>
      </w:r>
      <w:r w:rsidR="00520BD6">
        <w:rPr>
          <w:b/>
        </w:rPr>
        <w:t>ies</w:t>
      </w:r>
    </w:p>
    <w:p w:rsidR="009E69BF" w:rsidRDefault="009E69BF">
      <w:pPr>
        <w:ind w:left="720" w:hanging="720"/>
        <w:jc w:val="both"/>
      </w:pPr>
    </w:p>
    <w:p w:rsidR="00FD5FB8" w:rsidRDefault="00EA1258" w:rsidP="00346CCF">
      <w:pPr>
        <w:ind w:left="720"/>
        <w:jc w:val="both"/>
      </w:pPr>
      <w:r>
        <w:t xml:space="preserve">The </w:t>
      </w:r>
      <w:r w:rsidR="00E458B8">
        <w:t xml:space="preserve">significant </w:t>
      </w:r>
      <w:r>
        <w:t xml:space="preserve">accounting policies adopted </w:t>
      </w:r>
      <w:r w:rsidR="00E458B8">
        <w:t>by the Group in</w:t>
      </w:r>
      <w:r>
        <w:t xml:space="preserve"> this </w:t>
      </w:r>
      <w:r w:rsidR="00E458B8">
        <w:t>interim financial statements are</w:t>
      </w:r>
      <w:r>
        <w:t xml:space="preserve"> consistent with those of the last audited financial statements for the financial year ended 31 December 201</w:t>
      </w:r>
      <w:r w:rsidR="00555F03">
        <w:t>4</w:t>
      </w:r>
      <w:r>
        <w:t xml:space="preserve">, except for the </w:t>
      </w:r>
      <w:r w:rsidR="00E458B8">
        <w:t>newly issued Malaysian Accounting Standards Board approved accounting framework – Malaysian Financial Reporting Standards (“MFRS”), Amendments to standards and IC Interpretations (“IC Int.”) to be applied by all Entities Other Than Private Entities for the financial periods beginning on or after 1 January 201</w:t>
      </w:r>
      <w:r w:rsidR="00AE60B5">
        <w:t>5</w:t>
      </w:r>
      <w:r w:rsidR="00E458B8">
        <w:t>:</w:t>
      </w:r>
    </w:p>
    <w:p w:rsidR="003643F8" w:rsidRDefault="003643F8" w:rsidP="00346CCF">
      <w:pPr>
        <w:ind w:left="720"/>
        <w:jc w:val="both"/>
      </w:pPr>
    </w:p>
    <w:p w:rsidR="00E458B8" w:rsidRDefault="00E458B8" w:rsidP="00520BD6">
      <w:pPr>
        <w:ind w:left="720"/>
        <w:jc w:val="both"/>
        <w:rPr>
          <w:b/>
          <w:bCs/>
        </w:rPr>
      </w:pPr>
    </w:p>
    <w:p w:rsidR="00C63030" w:rsidRDefault="00E458B8" w:rsidP="00C63030">
      <w:pPr>
        <w:ind w:left="1440"/>
        <w:jc w:val="both"/>
      </w:pPr>
      <w:r>
        <w:t xml:space="preserve">Amendments to MFRS </w:t>
      </w:r>
      <w:r w:rsidR="00555F03">
        <w:t>1</w:t>
      </w:r>
      <w:r w:rsidR="00C63030">
        <w:t>19</w:t>
      </w:r>
      <w:r w:rsidR="00555F03">
        <w:t xml:space="preserve">  </w:t>
      </w:r>
      <w:r w:rsidR="00555F03">
        <w:tab/>
      </w:r>
      <w:r>
        <w:tab/>
        <w:t xml:space="preserve">            </w:t>
      </w:r>
      <w:r w:rsidR="00C63030">
        <w:t>Defined Benefits Plans: Employee</w:t>
      </w:r>
    </w:p>
    <w:p w:rsidR="00E458B8" w:rsidRDefault="00C63030" w:rsidP="00047E6C">
      <w:pPr>
        <w:ind w:left="1440"/>
        <w:jc w:val="both"/>
      </w:pPr>
      <w:r>
        <w:t xml:space="preserve">    </w:t>
      </w:r>
      <w:r w:rsidR="00E458B8">
        <w:tab/>
      </w:r>
      <w:r w:rsidR="00E458B8">
        <w:tab/>
      </w:r>
      <w:r w:rsidR="00E458B8">
        <w:tab/>
        <w:t xml:space="preserve">              </w:t>
      </w:r>
      <w:r>
        <w:t xml:space="preserve">                        Contributions</w:t>
      </w:r>
    </w:p>
    <w:p w:rsidR="00E458B8" w:rsidRDefault="00E458B8" w:rsidP="00E458B8">
      <w:pPr>
        <w:ind w:left="1440"/>
        <w:jc w:val="both"/>
      </w:pPr>
      <w:r>
        <w:t xml:space="preserve"> </w:t>
      </w:r>
    </w:p>
    <w:p w:rsidR="00047E6C" w:rsidRDefault="00C63030" w:rsidP="00E458B8">
      <w:pPr>
        <w:ind w:left="1440"/>
        <w:jc w:val="both"/>
      </w:pPr>
      <w:r>
        <w:t xml:space="preserve">Annual Improvements 2010-2012 Cycle        </w:t>
      </w:r>
    </w:p>
    <w:p w:rsidR="00C63030" w:rsidRDefault="00C63030" w:rsidP="00E458B8">
      <w:pPr>
        <w:ind w:left="1440"/>
        <w:jc w:val="both"/>
      </w:pPr>
      <w:r>
        <w:t>Amendments to MFRS 3</w:t>
      </w:r>
      <w:r>
        <w:tab/>
      </w:r>
      <w:r>
        <w:tab/>
      </w:r>
      <w:r>
        <w:tab/>
        <w:t>Business Combinations</w:t>
      </w:r>
    </w:p>
    <w:p w:rsidR="00C63030" w:rsidRDefault="00C63030" w:rsidP="00E458B8">
      <w:pPr>
        <w:ind w:left="1440"/>
        <w:jc w:val="both"/>
      </w:pPr>
      <w:r>
        <w:t>Amendments to MFRS 8</w:t>
      </w:r>
      <w:r>
        <w:tab/>
      </w:r>
      <w:r>
        <w:tab/>
      </w:r>
      <w:r>
        <w:tab/>
        <w:t>Operating Segments</w:t>
      </w:r>
    </w:p>
    <w:p w:rsidR="00C63030" w:rsidRDefault="00C63030" w:rsidP="00E458B8">
      <w:pPr>
        <w:ind w:left="1440"/>
        <w:jc w:val="both"/>
      </w:pPr>
      <w:r>
        <w:t>Amendments to MFRS 116</w:t>
      </w:r>
      <w:r>
        <w:tab/>
      </w:r>
      <w:r>
        <w:tab/>
      </w:r>
      <w:r>
        <w:tab/>
        <w:t>Property, Plant and Equipment</w:t>
      </w:r>
    </w:p>
    <w:p w:rsidR="00C63030" w:rsidRDefault="00C63030" w:rsidP="00E458B8">
      <w:pPr>
        <w:ind w:left="1440"/>
        <w:jc w:val="both"/>
      </w:pPr>
      <w:r>
        <w:t>Amendments to MFRS 124</w:t>
      </w:r>
      <w:r>
        <w:tab/>
      </w:r>
      <w:r>
        <w:tab/>
      </w:r>
      <w:r>
        <w:tab/>
        <w:t>Related Party Disclosures</w:t>
      </w:r>
    </w:p>
    <w:p w:rsidR="00C63030" w:rsidRDefault="00C63030" w:rsidP="00E458B8">
      <w:pPr>
        <w:ind w:left="1440"/>
        <w:jc w:val="both"/>
      </w:pPr>
      <w:r>
        <w:t>Amendments to MFRS 138</w:t>
      </w:r>
      <w:r>
        <w:tab/>
      </w:r>
      <w:r>
        <w:tab/>
      </w:r>
      <w:r>
        <w:tab/>
        <w:t>Intangible Assets</w:t>
      </w:r>
    </w:p>
    <w:p w:rsidR="00C63030" w:rsidRDefault="00C63030" w:rsidP="00E458B8">
      <w:pPr>
        <w:ind w:left="1440"/>
        <w:jc w:val="both"/>
      </w:pPr>
    </w:p>
    <w:p w:rsidR="00C63030" w:rsidRDefault="00C63030" w:rsidP="00E458B8">
      <w:pPr>
        <w:ind w:left="1440"/>
        <w:jc w:val="both"/>
      </w:pPr>
      <w:r>
        <w:t>Annual Improvements 2011-2013 Cycle</w:t>
      </w:r>
    </w:p>
    <w:p w:rsidR="00C63030" w:rsidRDefault="00C63030" w:rsidP="00E458B8">
      <w:pPr>
        <w:ind w:left="1440"/>
        <w:jc w:val="both"/>
      </w:pPr>
      <w:r>
        <w:t>Amendments to MFRS 3</w:t>
      </w:r>
      <w:r>
        <w:tab/>
      </w:r>
      <w:r>
        <w:tab/>
      </w:r>
      <w:r>
        <w:tab/>
        <w:t>Business Combinations</w:t>
      </w:r>
    </w:p>
    <w:p w:rsidR="00C63030" w:rsidRDefault="00C63030" w:rsidP="00E458B8">
      <w:pPr>
        <w:ind w:left="1440"/>
        <w:jc w:val="both"/>
      </w:pPr>
      <w:r>
        <w:t>Amendments to MFRS 13</w:t>
      </w:r>
      <w:r>
        <w:tab/>
      </w:r>
      <w:r>
        <w:tab/>
      </w:r>
      <w:r>
        <w:tab/>
        <w:t>Fair Value Measurement</w:t>
      </w:r>
    </w:p>
    <w:p w:rsidR="00C63030" w:rsidRDefault="00C63030" w:rsidP="00E458B8">
      <w:pPr>
        <w:ind w:left="1440"/>
        <w:jc w:val="both"/>
      </w:pPr>
    </w:p>
    <w:p w:rsidR="00047E6C" w:rsidRDefault="00047E6C" w:rsidP="00047E6C">
      <w:pPr>
        <w:ind w:left="720"/>
        <w:jc w:val="both"/>
      </w:pPr>
      <w:r>
        <w:t>The adoption of the above did not have any significant effects on the interim financial report upon their initial application.</w:t>
      </w:r>
    </w:p>
    <w:p w:rsidR="00047E6C" w:rsidRDefault="00047E6C" w:rsidP="00E458B8">
      <w:pPr>
        <w:ind w:left="1440"/>
        <w:jc w:val="both"/>
      </w:pPr>
    </w:p>
    <w:p w:rsidR="00520BD6" w:rsidRDefault="00520BD6" w:rsidP="00550DB6">
      <w:pPr>
        <w:jc w:val="both"/>
        <w:rPr>
          <w:b/>
          <w:bCs/>
        </w:rPr>
      </w:pPr>
    </w:p>
    <w:p w:rsidR="00E35F2C" w:rsidRDefault="00E35F2C" w:rsidP="00550DB6">
      <w:pPr>
        <w:jc w:val="both"/>
        <w:rPr>
          <w:b/>
          <w:bCs/>
        </w:rPr>
      </w:pPr>
    </w:p>
    <w:p w:rsidR="00E35F2C" w:rsidRDefault="00E35F2C" w:rsidP="00550DB6">
      <w:pPr>
        <w:jc w:val="both"/>
        <w:rPr>
          <w:b/>
          <w:bCs/>
        </w:rPr>
      </w:pPr>
    </w:p>
    <w:p w:rsidR="00E35F2C" w:rsidRPr="005C5597" w:rsidRDefault="00E35F2C" w:rsidP="00550DB6">
      <w:pPr>
        <w:jc w:val="both"/>
        <w:rPr>
          <w:bCs/>
        </w:rPr>
      </w:pPr>
      <w:r w:rsidRPr="005C5597">
        <w:rPr>
          <w:bCs/>
        </w:rPr>
        <w:lastRenderedPageBreak/>
        <w:t>-continue</w:t>
      </w:r>
      <w:r w:rsidR="005C5597" w:rsidRPr="005C5597">
        <w:rPr>
          <w:bCs/>
        </w:rPr>
        <w:t>d</w:t>
      </w:r>
    </w:p>
    <w:p w:rsidR="00E35F2C" w:rsidRDefault="00E35F2C" w:rsidP="00550DB6">
      <w:pPr>
        <w:jc w:val="both"/>
        <w:rPr>
          <w:b/>
          <w:bCs/>
        </w:rPr>
      </w:pPr>
    </w:p>
    <w:p w:rsidR="003643F8" w:rsidRDefault="003643F8" w:rsidP="00550DB6">
      <w:pPr>
        <w:jc w:val="both"/>
        <w:rPr>
          <w:b/>
          <w:bCs/>
        </w:rPr>
      </w:pPr>
    </w:p>
    <w:p w:rsidR="00550DB6" w:rsidRDefault="00550DB6" w:rsidP="00550DB6">
      <w:pPr>
        <w:jc w:val="both"/>
        <w:rPr>
          <w:b/>
          <w:bCs/>
        </w:rPr>
      </w:pPr>
      <w:r w:rsidRPr="00550DB6">
        <w:rPr>
          <w:b/>
          <w:bCs/>
        </w:rPr>
        <w:t>3</w:t>
      </w:r>
      <w:r w:rsidR="00037AE8">
        <w:rPr>
          <w:b/>
          <w:bCs/>
        </w:rPr>
        <w:t>.</w:t>
      </w:r>
      <w:r>
        <w:rPr>
          <w:b/>
          <w:bCs/>
        </w:rPr>
        <w:t xml:space="preserve"> </w:t>
      </w:r>
      <w:r>
        <w:rPr>
          <w:b/>
          <w:bCs/>
        </w:rPr>
        <w:tab/>
        <w:t>Audit Qualification Report</w:t>
      </w:r>
    </w:p>
    <w:p w:rsidR="009E69BF" w:rsidRDefault="009E69BF" w:rsidP="0005245F">
      <w:pPr>
        <w:jc w:val="both"/>
      </w:pPr>
    </w:p>
    <w:p w:rsidR="009E69BF" w:rsidRDefault="009E69BF" w:rsidP="008846A5">
      <w:pPr>
        <w:ind w:left="720"/>
        <w:jc w:val="both"/>
      </w:pPr>
      <w:r>
        <w:t xml:space="preserve">The preceding financial statements for the </w:t>
      </w:r>
      <w:r w:rsidR="003643F8">
        <w:t xml:space="preserve">financial </w:t>
      </w:r>
      <w:r>
        <w:t>year ended 31 December 20</w:t>
      </w:r>
      <w:r w:rsidR="005F4006">
        <w:t>1</w:t>
      </w:r>
      <w:r w:rsidR="008F0D50">
        <w:t>4</w:t>
      </w:r>
      <w:r>
        <w:t xml:space="preserve"> were report on without any qualification.   </w:t>
      </w:r>
    </w:p>
    <w:p w:rsidR="00CE398C" w:rsidRDefault="00CE398C" w:rsidP="00CE398C">
      <w:pPr>
        <w:ind w:left="720"/>
        <w:jc w:val="both"/>
      </w:pPr>
    </w:p>
    <w:p w:rsidR="009D7CA3" w:rsidRDefault="009D7CA3" w:rsidP="00CE398C">
      <w:pPr>
        <w:ind w:left="720"/>
        <w:jc w:val="both"/>
      </w:pPr>
    </w:p>
    <w:p w:rsidR="009E69BF" w:rsidRDefault="00A4070F">
      <w:pPr>
        <w:jc w:val="both"/>
      </w:pPr>
      <w:r>
        <w:t>4</w:t>
      </w:r>
      <w:r w:rsidR="009E69BF">
        <w:t xml:space="preserve">.         </w:t>
      </w:r>
      <w:r w:rsidR="009E69BF">
        <w:rPr>
          <w:b/>
        </w:rPr>
        <w:t>Seasonal or cyclical factors</w:t>
      </w:r>
    </w:p>
    <w:p w:rsidR="009E69BF" w:rsidRDefault="009E69BF">
      <w:pPr>
        <w:jc w:val="both"/>
        <w:rPr>
          <w:b/>
        </w:rPr>
      </w:pPr>
    </w:p>
    <w:p w:rsidR="009E69BF" w:rsidRDefault="009E69BF">
      <w:pPr>
        <w:pStyle w:val="BodyTextIndent3"/>
      </w:pPr>
      <w:r>
        <w:rPr>
          <w:b/>
        </w:rPr>
        <w:t xml:space="preserve">            </w:t>
      </w:r>
      <w:r>
        <w:t xml:space="preserve">The principal business operations of the Group has historically shown moderate seasonality, where production and sales of furniture are generally lower in the beginning of the calendar year due to the festive period as well as the summer holiday in the middle of the year. </w:t>
      </w:r>
    </w:p>
    <w:p w:rsidR="00364EFC" w:rsidRDefault="00364EFC">
      <w:pPr>
        <w:jc w:val="both"/>
      </w:pPr>
    </w:p>
    <w:p w:rsidR="008846A5" w:rsidRDefault="008846A5">
      <w:pPr>
        <w:jc w:val="both"/>
      </w:pPr>
    </w:p>
    <w:p w:rsidR="009E69BF" w:rsidRDefault="00A4070F">
      <w:pPr>
        <w:jc w:val="both"/>
      </w:pPr>
      <w:r>
        <w:t>5</w:t>
      </w:r>
      <w:r w:rsidR="009E69BF">
        <w:t>.</w:t>
      </w:r>
      <w:r w:rsidR="009E69BF">
        <w:tab/>
      </w:r>
      <w:r w:rsidR="009E69BF">
        <w:rPr>
          <w:b/>
        </w:rPr>
        <w:t>Unusual items</w:t>
      </w:r>
    </w:p>
    <w:p w:rsidR="009E69BF" w:rsidRDefault="009E69BF">
      <w:pPr>
        <w:jc w:val="both"/>
      </w:pPr>
    </w:p>
    <w:p w:rsidR="00650CB8" w:rsidRDefault="009E69BF" w:rsidP="008846A5">
      <w:pPr>
        <w:ind w:left="720"/>
        <w:jc w:val="both"/>
      </w:pPr>
      <w:r>
        <w:t xml:space="preserve">There were no unusual items affecting </w:t>
      </w:r>
      <w:r w:rsidR="001110BE">
        <w:t>assets, liabilities, equity, net income, or cash flows f</w:t>
      </w:r>
      <w:r>
        <w:t>or the financial period ended 3</w:t>
      </w:r>
      <w:r w:rsidR="00704CA2">
        <w:t xml:space="preserve">0 </w:t>
      </w:r>
      <w:r w:rsidR="0096327E">
        <w:t>September</w:t>
      </w:r>
      <w:r w:rsidR="005E1309">
        <w:t xml:space="preserve"> 201</w:t>
      </w:r>
      <w:r w:rsidR="008F0D50">
        <w:t>5</w:t>
      </w:r>
      <w:r w:rsidR="005E1309">
        <w:t>.</w:t>
      </w:r>
    </w:p>
    <w:p w:rsidR="00B44EFF" w:rsidRDefault="00B44EFF" w:rsidP="006274E6">
      <w:pPr>
        <w:jc w:val="both"/>
      </w:pPr>
    </w:p>
    <w:p w:rsidR="00B44EFF" w:rsidRDefault="00B44EFF" w:rsidP="006274E6">
      <w:pPr>
        <w:jc w:val="both"/>
      </w:pPr>
    </w:p>
    <w:p w:rsidR="009E69BF" w:rsidRDefault="003E2394" w:rsidP="006274E6">
      <w:pPr>
        <w:jc w:val="both"/>
      </w:pPr>
      <w:r>
        <w:t>6.</w:t>
      </w:r>
      <w:r w:rsidR="004B6D5B">
        <w:t xml:space="preserve"> </w:t>
      </w:r>
      <w:r w:rsidR="009E69BF">
        <w:t xml:space="preserve">      </w:t>
      </w:r>
      <w:r w:rsidR="009E69BF">
        <w:rPr>
          <w:b/>
        </w:rPr>
        <w:t>Changes in estimates</w:t>
      </w:r>
    </w:p>
    <w:p w:rsidR="009E69BF" w:rsidRDefault="009E69BF">
      <w:pPr>
        <w:jc w:val="both"/>
      </w:pPr>
    </w:p>
    <w:p w:rsidR="009E69BF" w:rsidRDefault="009E69BF" w:rsidP="00BF1036">
      <w:pPr>
        <w:ind w:left="630"/>
        <w:jc w:val="both"/>
      </w:pPr>
      <w:r>
        <w:t>There is no significant change in estimates of amounts reported in prior interim periods of the current or previous financial year.</w:t>
      </w:r>
    </w:p>
    <w:p w:rsidR="008846A5" w:rsidRDefault="008846A5" w:rsidP="006274E6">
      <w:pPr>
        <w:jc w:val="both"/>
      </w:pPr>
    </w:p>
    <w:p w:rsidR="00520BD6" w:rsidRDefault="00520BD6" w:rsidP="006274E6">
      <w:pPr>
        <w:jc w:val="both"/>
      </w:pPr>
    </w:p>
    <w:p w:rsidR="009E69BF" w:rsidRDefault="00A4070F" w:rsidP="006274E6">
      <w:pPr>
        <w:jc w:val="both"/>
      </w:pPr>
      <w:r>
        <w:t>7</w:t>
      </w:r>
      <w:r w:rsidR="009E69BF">
        <w:t xml:space="preserve">.       </w:t>
      </w:r>
      <w:r w:rsidR="009E69BF">
        <w:rPr>
          <w:b/>
        </w:rPr>
        <w:t>Debts and equity securities</w:t>
      </w:r>
      <w:r w:rsidR="009E69BF">
        <w:t xml:space="preserve">    </w:t>
      </w:r>
    </w:p>
    <w:p w:rsidR="009E69BF" w:rsidRDefault="009E69BF">
      <w:pPr>
        <w:ind w:left="720" w:hanging="720"/>
        <w:jc w:val="both"/>
      </w:pPr>
      <w:r>
        <w:t xml:space="preserve"> </w:t>
      </w:r>
    </w:p>
    <w:p w:rsidR="009E69BF" w:rsidRDefault="009E69BF" w:rsidP="008846A5">
      <w:pPr>
        <w:ind w:left="630" w:hanging="630"/>
        <w:jc w:val="both"/>
      </w:pPr>
      <w:r>
        <w:t xml:space="preserve">        </w:t>
      </w:r>
      <w:r w:rsidR="006274E6">
        <w:t xml:space="preserve"> </w:t>
      </w:r>
      <w:r>
        <w:t xml:space="preserve"> There were no issuances, cancellations, repurchases, resale and repayments of debt or equity securities for the financial period ended 3</w:t>
      </w:r>
      <w:r w:rsidR="00704CA2">
        <w:t xml:space="preserve">0 </w:t>
      </w:r>
      <w:r w:rsidR="0096327E">
        <w:t>September</w:t>
      </w:r>
      <w:r w:rsidR="00D872C4">
        <w:t xml:space="preserve"> </w:t>
      </w:r>
      <w:r w:rsidR="00CE398C">
        <w:t>201</w:t>
      </w:r>
      <w:r w:rsidR="008F0D50">
        <w:t>5</w:t>
      </w:r>
      <w:r>
        <w:t xml:space="preserve">.  </w:t>
      </w:r>
    </w:p>
    <w:p w:rsidR="0033518B" w:rsidRDefault="0033518B">
      <w:pPr>
        <w:ind w:left="720" w:hanging="720"/>
        <w:jc w:val="both"/>
      </w:pPr>
    </w:p>
    <w:p w:rsidR="00520BD6" w:rsidRDefault="00520BD6">
      <w:pPr>
        <w:ind w:left="720" w:hanging="720"/>
        <w:jc w:val="both"/>
      </w:pPr>
    </w:p>
    <w:p w:rsidR="009E69BF" w:rsidRDefault="00A4070F" w:rsidP="008C1900">
      <w:pPr>
        <w:ind w:left="540" w:hanging="540"/>
        <w:jc w:val="both"/>
        <w:rPr>
          <w:b/>
        </w:rPr>
      </w:pPr>
      <w:r w:rsidRPr="00153FA6">
        <w:t>8</w:t>
      </w:r>
      <w:r w:rsidR="00036E2C">
        <w:rPr>
          <w:b/>
        </w:rPr>
        <w:t>.</w:t>
      </w:r>
      <w:r w:rsidR="00036E2C">
        <w:rPr>
          <w:b/>
        </w:rPr>
        <w:tab/>
      </w:r>
      <w:r w:rsidR="009E69BF">
        <w:rPr>
          <w:b/>
        </w:rPr>
        <w:t>Dividend</w:t>
      </w:r>
      <w:r w:rsidR="005C5597">
        <w:rPr>
          <w:b/>
        </w:rPr>
        <w:t>s</w:t>
      </w:r>
      <w:r w:rsidR="009E69BF">
        <w:rPr>
          <w:b/>
        </w:rPr>
        <w:t xml:space="preserve"> Paid</w:t>
      </w:r>
    </w:p>
    <w:p w:rsidR="00063F18" w:rsidRDefault="00CE398C" w:rsidP="00D02EF6">
      <w:pPr>
        <w:ind w:left="540" w:hanging="450"/>
        <w:jc w:val="both"/>
        <w:rPr>
          <w:bCs/>
        </w:rPr>
      </w:pPr>
      <w:r>
        <w:rPr>
          <w:b/>
        </w:rPr>
        <w:tab/>
      </w:r>
    </w:p>
    <w:p w:rsidR="00047E6C" w:rsidRPr="00047E6C" w:rsidRDefault="00CE398C" w:rsidP="00047E6C">
      <w:pPr>
        <w:ind w:left="540" w:hanging="450"/>
        <w:jc w:val="both"/>
        <w:rPr>
          <w:bCs/>
        </w:rPr>
      </w:pPr>
      <w:r>
        <w:rPr>
          <w:bCs/>
        </w:rPr>
        <w:tab/>
      </w:r>
      <w:r w:rsidR="00047E6C" w:rsidRPr="00047E6C">
        <w:rPr>
          <w:bCs/>
        </w:rPr>
        <w:t>The dividend</w:t>
      </w:r>
      <w:r w:rsidR="005C5597">
        <w:rPr>
          <w:bCs/>
        </w:rPr>
        <w:t>s</w:t>
      </w:r>
      <w:r w:rsidR="00047E6C" w:rsidRPr="00047E6C">
        <w:rPr>
          <w:bCs/>
        </w:rPr>
        <w:t xml:space="preserve"> paid during the financial period w</w:t>
      </w:r>
      <w:r w:rsidR="00047E6C">
        <w:rPr>
          <w:bCs/>
        </w:rPr>
        <w:t>as</w:t>
      </w:r>
      <w:r w:rsidR="00047E6C" w:rsidRPr="00047E6C">
        <w:rPr>
          <w:bCs/>
        </w:rPr>
        <w:t xml:space="preserve"> as follows: -</w:t>
      </w:r>
    </w:p>
    <w:p w:rsidR="00047E6C" w:rsidRPr="00047E6C" w:rsidRDefault="00047E6C" w:rsidP="00047E6C">
      <w:pPr>
        <w:ind w:left="540" w:hanging="450"/>
        <w:jc w:val="both"/>
        <w:rPr>
          <w:bCs/>
        </w:rPr>
      </w:pPr>
      <w:r w:rsidRPr="00047E6C">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03"/>
        <w:gridCol w:w="1687"/>
        <w:gridCol w:w="1376"/>
        <w:gridCol w:w="1620"/>
        <w:gridCol w:w="1479"/>
      </w:tblGrid>
      <w:tr w:rsidR="00047E6C" w:rsidRPr="003A7970" w:rsidTr="0096327E">
        <w:tc>
          <w:tcPr>
            <w:tcW w:w="0" w:type="auto"/>
            <w:shd w:val="clear" w:color="auto" w:fill="auto"/>
          </w:tcPr>
          <w:p w:rsidR="00047E6C" w:rsidRPr="003A7970" w:rsidRDefault="00047E6C" w:rsidP="003A7970">
            <w:pPr>
              <w:ind w:left="540" w:hanging="450"/>
              <w:jc w:val="both"/>
              <w:rPr>
                <w:bCs/>
              </w:rPr>
            </w:pPr>
            <w:r w:rsidRPr="003A7970">
              <w:rPr>
                <w:bCs/>
              </w:rPr>
              <w:t>Type of dividend</w:t>
            </w:r>
          </w:p>
        </w:tc>
        <w:tc>
          <w:tcPr>
            <w:tcW w:w="0" w:type="auto"/>
            <w:shd w:val="clear" w:color="auto" w:fill="auto"/>
          </w:tcPr>
          <w:p w:rsidR="00047E6C" w:rsidRPr="003A7970" w:rsidRDefault="00047E6C" w:rsidP="003A7970">
            <w:pPr>
              <w:ind w:left="450" w:hanging="450"/>
              <w:rPr>
                <w:bCs/>
              </w:rPr>
            </w:pPr>
            <w:r w:rsidRPr="003A7970">
              <w:rPr>
                <w:bCs/>
              </w:rPr>
              <w:t>Dividend per share</w:t>
            </w:r>
          </w:p>
        </w:tc>
        <w:tc>
          <w:tcPr>
            <w:tcW w:w="0" w:type="auto"/>
            <w:shd w:val="clear" w:color="auto" w:fill="auto"/>
          </w:tcPr>
          <w:p w:rsidR="00047E6C" w:rsidRPr="003A7970" w:rsidRDefault="00047E6C" w:rsidP="003A7970">
            <w:pPr>
              <w:ind w:left="540" w:hanging="450"/>
              <w:jc w:val="both"/>
              <w:rPr>
                <w:bCs/>
              </w:rPr>
            </w:pPr>
            <w:r w:rsidRPr="003A7970">
              <w:rPr>
                <w:bCs/>
              </w:rPr>
              <w:t>For the year ended</w:t>
            </w:r>
          </w:p>
        </w:tc>
        <w:tc>
          <w:tcPr>
            <w:tcW w:w="0" w:type="auto"/>
            <w:shd w:val="clear" w:color="auto" w:fill="auto"/>
          </w:tcPr>
          <w:p w:rsidR="00047E6C" w:rsidRPr="003A7970" w:rsidRDefault="00047E6C" w:rsidP="00635B55">
            <w:pPr>
              <w:ind w:left="540" w:hanging="450"/>
              <w:jc w:val="center"/>
              <w:rPr>
                <w:bCs/>
              </w:rPr>
            </w:pPr>
            <w:r w:rsidRPr="003A7970">
              <w:rPr>
                <w:bCs/>
              </w:rPr>
              <w:t xml:space="preserve">Amount </w:t>
            </w:r>
            <w:r w:rsidR="00635B55">
              <w:rPr>
                <w:bCs/>
              </w:rPr>
              <w:t>RM</w:t>
            </w:r>
          </w:p>
        </w:tc>
        <w:tc>
          <w:tcPr>
            <w:tcW w:w="0" w:type="auto"/>
            <w:shd w:val="clear" w:color="auto" w:fill="auto"/>
          </w:tcPr>
          <w:p w:rsidR="00047E6C" w:rsidRPr="003A7970" w:rsidRDefault="00047E6C" w:rsidP="003A7970">
            <w:pPr>
              <w:ind w:left="540" w:hanging="450"/>
              <w:jc w:val="both"/>
              <w:rPr>
                <w:bCs/>
              </w:rPr>
            </w:pPr>
            <w:r w:rsidRPr="003A7970">
              <w:rPr>
                <w:bCs/>
              </w:rPr>
              <w:t>Entitlement date</w:t>
            </w:r>
          </w:p>
        </w:tc>
        <w:tc>
          <w:tcPr>
            <w:tcW w:w="0" w:type="auto"/>
            <w:shd w:val="clear" w:color="auto" w:fill="auto"/>
          </w:tcPr>
          <w:p w:rsidR="00047E6C" w:rsidRPr="003A7970" w:rsidRDefault="00047E6C" w:rsidP="003A7970">
            <w:pPr>
              <w:ind w:left="540" w:hanging="450"/>
              <w:jc w:val="both"/>
              <w:rPr>
                <w:bCs/>
              </w:rPr>
            </w:pPr>
            <w:r w:rsidRPr="003A7970">
              <w:rPr>
                <w:bCs/>
              </w:rPr>
              <w:t>Payment date</w:t>
            </w:r>
          </w:p>
        </w:tc>
      </w:tr>
      <w:tr w:rsidR="00047E6C" w:rsidRPr="003A7970" w:rsidTr="0096327E">
        <w:tc>
          <w:tcPr>
            <w:tcW w:w="0" w:type="auto"/>
            <w:shd w:val="clear" w:color="auto" w:fill="auto"/>
          </w:tcPr>
          <w:p w:rsidR="00047E6C" w:rsidRPr="003A7970" w:rsidRDefault="00635B55" w:rsidP="0096327E">
            <w:pPr>
              <w:ind w:left="450" w:hanging="450"/>
              <w:rPr>
                <w:bCs/>
              </w:rPr>
            </w:pPr>
            <w:r>
              <w:rPr>
                <w:bCs/>
              </w:rPr>
              <w:t xml:space="preserve">Special </w:t>
            </w:r>
            <w:r w:rsidR="00047E6C" w:rsidRPr="003A7970">
              <w:rPr>
                <w:bCs/>
              </w:rPr>
              <w:t>single tier</w:t>
            </w:r>
          </w:p>
        </w:tc>
        <w:tc>
          <w:tcPr>
            <w:tcW w:w="0" w:type="auto"/>
            <w:shd w:val="clear" w:color="auto" w:fill="auto"/>
          </w:tcPr>
          <w:p w:rsidR="00047E6C" w:rsidRPr="003A7970" w:rsidRDefault="00635B55" w:rsidP="00635B55">
            <w:pPr>
              <w:ind w:left="540" w:hanging="450"/>
              <w:jc w:val="both"/>
              <w:rPr>
                <w:bCs/>
              </w:rPr>
            </w:pPr>
            <w:r>
              <w:rPr>
                <w:bCs/>
              </w:rPr>
              <w:t>3</w:t>
            </w:r>
            <w:r w:rsidR="008F0D50">
              <w:rPr>
                <w:bCs/>
              </w:rPr>
              <w:t>.5</w:t>
            </w:r>
            <w:r w:rsidR="00047E6C" w:rsidRPr="003A7970">
              <w:rPr>
                <w:bCs/>
              </w:rPr>
              <w:t>%</w:t>
            </w:r>
          </w:p>
        </w:tc>
        <w:tc>
          <w:tcPr>
            <w:tcW w:w="0" w:type="auto"/>
            <w:shd w:val="clear" w:color="auto" w:fill="auto"/>
          </w:tcPr>
          <w:p w:rsidR="00047E6C" w:rsidRPr="003A7970" w:rsidRDefault="00047E6C" w:rsidP="0096327E">
            <w:pPr>
              <w:ind w:left="540" w:hanging="450"/>
              <w:jc w:val="both"/>
              <w:rPr>
                <w:bCs/>
              </w:rPr>
            </w:pPr>
            <w:r w:rsidRPr="003A7970">
              <w:rPr>
                <w:bCs/>
              </w:rPr>
              <w:t>3</w:t>
            </w:r>
            <w:r w:rsidR="0096327E">
              <w:rPr>
                <w:bCs/>
              </w:rPr>
              <w:t>1</w:t>
            </w:r>
            <w:r w:rsidRPr="003A7970">
              <w:rPr>
                <w:bCs/>
              </w:rPr>
              <w:t>.12.201</w:t>
            </w:r>
            <w:r w:rsidR="008F0D50">
              <w:rPr>
                <w:bCs/>
              </w:rPr>
              <w:t>4</w:t>
            </w:r>
          </w:p>
        </w:tc>
        <w:tc>
          <w:tcPr>
            <w:tcW w:w="0" w:type="auto"/>
            <w:shd w:val="clear" w:color="auto" w:fill="auto"/>
          </w:tcPr>
          <w:p w:rsidR="00047E6C" w:rsidRPr="003A7970" w:rsidRDefault="008F0D50" w:rsidP="008F0D50">
            <w:pPr>
              <w:ind w:left="540" w:hanging="450"/>
              <w:jc w:val="center"/>
              <w:rPr>
                <w:bCs/>
              </w:rPr>
            </w:pPr>
            <w:r>
              <w:rPr>
                <w:bCs/>
              </w:rPr>
              <w:t>2</w:t>
            </w:r>
            <w:r w:rsidR="00047E6C" w:rsidRPr="003A7970">
              <w:rPr>
                <w:bCs/>
              </w:rPr>
              <w:t>,</w:t>
            </w:r>
            <w:r>
              <w:rPr>
                <w:bCs/>
              </w:rPr>
              <w:t>1</w:t>
            </w:r>
            <w:r w:rsidR="00047E6C" w:rsidRPr="003A7970">
              <w:rPr>
                <w:bCs/>
              </w:rPr>
              <w:t>00,000</w:t>
            </w:r>
          </w:p>
        </w:tc>
        <w:tc>
          <w:tcPr>
            <w:tcW w:w="0" w:type="auto"/>
            <w:shd w:val="clear" w:color="auto" w:fill="auto"/>
          </w:tcPr>
          <w:p w:rsidR="00047E6C" w:rsidRPr="003A7970" w:rsidRDefault="00047E6C" w:rsidP="008F0D50">
            <w:pPr>
              <w:ind w:left="540" w:hanging="450"/>
              <w:jc w:val="both"/>
              <w:rPr>
                <w:bCs/>
              </w:rPr>
            </w:pPr>
            <w:r w:rsidRPr="003A7970">
              <w:rPr>
                <w:bCs/>
              </w:rPr>
              <w:t>1</w:t>
            </w:r>
            <w:r w:rsidR="008F0D50">
              <w:rPr>
                <w:bCs/>
              </w:rPr>
              <w:t>3</w:t>
            </w:r>
            <w:r w:rsidRPr="003A7970">
              <w:rPr>
                <w:bCs/>
              </w:rPr>
              <w:t>.0</w:t>
            </w:r>
            <w:r w:rsidR="00635B55">
              <w:rPr>
                <w:bCs/>
              </w:rPr>
              <w:t>3</w:t>
            </w:r>
            <w:r w:rsidRPr="003A7970">
              <w:rPr>
                <w:bCs/>
              </w:rPr>
              <w:t>.201</w:t>
            </w:r>
            <w:r w:rsidR="008F0D50">
              <w:rPr>
                <w:bCs/>
              </w:rPr>
              <w:t>5</w:t>
            </w:r>
          </w:p>
        </w:tc>
        <w:tc>
          <w:tcPr>
            <w:tcW w:w="0" w:type="auto"/>
            <w:shd w:val="clear" w:color="auto" w:fill="auto"/>
          </w:tcPr>
          <w:p w:rsidR="00047E6C" w:rsidRPr="003A7970" w:rsidRDefault="00635B55" w:rsidP="008F0D50">
            <w:pPr>
              <w:ind w:left="540" w:hanging="450"/>
              <w:jc w:val="both"/>
              <w:rPr>
                <w:bCs/>
              </w:rPr>
            </w:pPr>
            <w:r>
              <w:rPr>
                <w:bCs/>
              </w:rPr>
              <w:t>27</w:t>
            </w:r>
            <w:r w:rsidR="00047E6C" w:rsidRPr="003A7970">
              <w:rPr>
                <w:bCs/>
              </w:rPr>
              <w:t>.0</w:t>
            </w:r>
            <w:r>
              <w:rPr>
                <w:bCs/>
              </w:rPr>
              <w:t>3</w:t>
            </w:r>
            <w:r w:rsidR="00047E6C" w:rsidRPr="003A7970">
              <w:rPr>
                <w:bCs/>
              </w:rPr>
              <w:t>.201</w:t>
            </w:r>
            <w:r w:rsidR="008F0D50">
              <w:rPr>
                <w:bCs/>
              </w:rPr>
              <w:t>5</w:t>
            </w:r>
          </w:p>
        </w:tc>
      </w:tr>
      <w:tr w:rsidR="0096327E" w:rsidRPr="003A7970" w:rsidTr="0096327E">
        <w:tc>
          <w:tcPr>
            <w:tcW w:w="0" w:type="auto"/>
            <w:shd w:val="clear" w:color="auto" w:fill="auto"/>
          </w:tcPr>
          <w:p w:rsidR="0096327E" w:rsidRDefault="0096327E" w:rsidP="0096327E">
            <w:pPr>
              <w:ind w:left="450" w:hanging="450"/>
              <w:rPr>
                <w:bCs/>
              </w:rPr>
            </w:pPr>
            <w:r>
              <w:rPr>
                <w:bCs/>
              </w:rPr>
              <w:t xml:space="preserve">First interim single tier </w:t>
            </w:r>
          </w:p>
        </w:tc>
        <w:tc>
          <w:tcPr>
            <w:tcW w:w="0" w:type="auto"/>
            <w:shd w:val="clear" w:color="auto" w:fill="auto"/>
          </w:tcPr>
          <w:p w:rsidR="0096327E" w:rsidRDefault="0096327E" w:rsidP="00635B55">
            <w:pPr>
              <w:ind w:left="540" w:hanging="450"/>
              <w:jc w:val="both"/>
              <w:rPr>
                <w:bCs/>
              </w:rPr>
            </w:pPr>
            <w:r>
              <w:rPr>
                <w:bCs/>
              </w:rPr>
              <w:t>6.0%</w:t>
            </w:r>
          </w:p>
        </w:tc>
        <w:tc>
          <w:tcPr>
            <w:tcW w:w="0" w:type="auto"/>
            <w:shd w:val="clear" w:color="auto" w:fill="auto"/>
          </w:tcPr>
          <w:p w:rsidR="0096327E" w:rsidRPr="003A7970" w:rsidRDefault="0096327E" w:rsidP="008F0D50">
            <w:pPr>
              <w:ind w:left="540" w:hanging="450"/>
              <w:jc w:val="both"/>
              <w:rPr>
                <w:bCs/>
              </w:rPr>
            </w:pPr>
            <w:r>
              <w:rPr>
                <w:bCs/>
              </w:rPr>
              <w:t>31.12.2015</w:t>
            </w:r>
          </w:p>
        </w:tc>
        <w:tc>
          <w:tcPr>
            <w:tcW w:w="0" w:type="auto"/>
            <w:shd w:val="clear" w:color="auto" w:fill="auto"/>
          </w:tcPr>
          <w:p w:rsidR="0096327E" w:rsidRDefault="0096327E" w:rsidP="008F0D50">
            <w:pPr>
              <w:ind w:left="540" w:hanging="450"/>
              <w:jc w:val="center"/>
              <w:rPr>
                <w:bCs/>
              </w:rPr>
            </w:pPr>
            <w:r>
              <w:rPr>
                <w:bCs/>
              </w:rPr>
              <w:t>3,600,000</w:t>
            </w:r>
          </w:p>
        </w:tc>
        <w:tc>
          <w:tcPr>
            <w:tcW w:w="0" w:type="auto"/>
            <w:shd w:val="clear" w:color="auto" w:fill="auto"/>
          </w:tcPr>
          <w:p w:rsidR="0096327E" w:rsidRPr="003A7970" w:rsidRDefault="0096327E" w:rsidP="008F0D50">
            <w:pPr>
              <w:ind w:left="540" w:hanging="450"/>
              <w:jc w:val="both"/>
              <w:rPr>
                <w:bCs/>
              </w:rPr>
            </w:pPr>
            <w:r>
              <w:rPr>
                <w:bCs/>
              </w:rPr>
              <w:t>15.06.2015</w:t>
            </w:r>
          </w:p>
        </w:tc>
        <w:tc>
          <w:tcPr>
            <w:tcW w:w="0" w:type="auto"/>
            <w:shd w:val="clear" w:color="auto" w:fill="auto"/>
          </w:tcPr>
          <w:p w:rsidR="0096327E" w:rsidRDefault="0096327E" w:rsidP="008F0D50">
            <w:pPr>
              <w:ind w:left="540" w:hanging="450"/>
              <w:jc w:val="both"/>
              <w:rPr>
                <w:bCs/>
              </w:rPr>
            </w:pPr>
            <w:r>
              <w:rPr>
                <w:bCs/>
              </w:rPr>
              <w:t>01.07.2015</w:t>
            </w:r>
          </w:p>
        </w:tc>
      </w:tr>
      <w:tr w:rsidR="0096327E" w:rsidRPr="003A7970" w:rsidTr="0096327E">
        <w:tc>
          <w:tcPr>
            <w:tcW w:w="0" w:type="auto"/>
            <w:shd w:val="clear" w:color="auto" w:fill="auto"/>
          </w:tcPr>
          <w:p w:rsidR="0096327E" w:rsidRDefault="0096327E" w:rsidP="0096327E">
            <w:pPr>
              <w:ind w:left="450" w:hanging="450"/>
              <w:rPr>
                <w:bCs/>
              </w:rPr>
            </w:pPr>
            <w:r>
              <w:rPr>
                <w:bCs/>
              </w:rPr>
              <w:t>Final single tier</w:t>
            </w:r>
          </w:p>
        </w:tc>
        <w:tc>
          <w:tcPr>
            <w:tcW w:w="0" w:type="auto"/>
            <w:shd w:val="clear" w:color="auto" w:fill="auto"/>
          </w:tcPr>
          <w:p w:rsidR="0096327E" w:rsidRDefault="0096327E" w:rsidP="00635B55">
            <w:pPr>
              <w:ind w:left="540" w:hanging="450"/>
              <w:jc w:val="both"/>
              <w:rPr>
                <w:bCs/>
              </w:rPr>
            </w:pPr>
            <w:r>
              <w:rPr>
                <w:bCs/>
              </w:rPr>
              <w:t>4.0%</w:t>
            </w:r>
          </w:p>
        </w:tc>
        <w:tc>
          <w:tcPr>
            <w:tcW w:w="0" w:type="auto"/>
            <w:shd w:val="clear" w:color="auto" w:fill="auto"/>
          </w:tcPr>
          <w:p w:rsidR="0096327E" w:rsidRPr="003A7970" w:rsidRDefault="0096327E" w:rsidP="008F0D50">
            <w:pPr>
              <w:ind w:left="540" w:hanging="450"/>
              <w:jc w:val="both"/>
              <w:rPr>
                <w:bCs/>
              </w:rPr>
            </w:pPr>
            <w:r>
              <w:rPr>
                <w:bCs/>
              </w:rPr>
              <w:t>31.12.2014</w:t>
            </w:r>
          </w:p>
        </w:tc>
        <w:tc>
          <w:tcPr>
            <w:tcW w:w="0" w:type="auto"/>
            <w:shd w:val="clear" w:color="auto" w:fill="auto"/>
          </w:tcPr>
          <w:p w:rsidR="0096327E" w:rsidRDefault="0096327E" w:rsidP="008F0D50">
            <w:pPr>
              <w:ind w:left="540" w:hanging="450"/>
              <w:jc w:val="center"/>
              <w:rPr>
                <w:bCs/>
              </w:rPr>
            </w:pPr>
            <w:r>
              <w:rPr>
                <w:bCs/>
              </w:rPr>
              <w:t>2,400,000</w:t>
            </w:r>
          </w:p>
        </w:tc>
        <w:tc>
          <w:tcPr>
            <w:tcW w:w="0" w:type="auto"/>
            <w:shd w:val="clear" w:color="auto" w:fill="auto"/>
          </w:tcPr>
          <w:p w:rsidR="0096327E" w:rsidRPr="003A7970" w:rsidRDefault="0096327E" w:rsidP="008F0D50">
            <w:pPr>
              <w:ind w:left="540" w:hanging="450"/>
              <w:jc w:val="both"/>
              <w:rPr>
                <w:bCs/>
              </w:rPr>
            </w:pPr>
            <w:r>
              <w:rPr>
                <w:bCs/>
              </w:rPr>
              <w:t>10.07.2015</w:t>
            </w:r>
          </w:p>
        </w:tc>
        <w:tc>
          <w:tcPr>
            <w:tcW w:w="0" w:type="auto"/>
            <w:shd w:val="clear" w:color="auto" w:fill="auto"/>
          </w:tcPr>
          <w:p w:rsidR="0096327E" w:rsidRDefault="0096327E" w:rsidP="008F0D50">
            <w:pPr>
              <w:ind w:left="540" w:hanging="450"/>
              <w:jc w:val="both"/>
              <w:rPr>
                <w:bCs/>
              </w:rPr>
            </w:pPr>
            <w:r>
              <w:rPr>
                <w:bCs/>
              </w:rPr>
              <w:t>27.07.2015</w:t>
            </w:r>
          </w:p>
        </w:tc>
      </w:tr>
      <w:tr w:rsidR="0096327E" w:rsidRPr="003A7970" w:rsidTr="0096327E">
        <w:tc>
          <w:tcPr>
            <w:tcW w:w="0" w:type="auto"/>
            <w:shd w:val="clear" w:color="auto" w:fill="auto"/>
          </w:tcPr>
          <w:p w:rsidR="0096327E" w:rsidRDefault="0096327E" w:rsidP="0096327E">
            <w:pPr>
              <w:ind w:left="450" w:hanging="450"/>
              <w:rPr>
                <w:bCs/>
              </w:rPr>
            </w:pPr>
            <w:r>
              <w:rPr>
                <w:bCs/>
              </w:rPr>
              <w:t>Second interim single tier</w:t>
            </w:r>
          </w:p>
        </w:tc>
        <w:tc>
          <w:tcPr>
            <w:tcW w:w="0" w:type="auto"/>
            <w:shd w:val="clear" w:color="auto" w:fill="auto"/>
          </w:tcPr>
          <w:p w:rsidR="0096327E" w:rsidRDefault="0096327E" w:rsidP="00635B55">
            <w:pPr>
              <w:ind w:left="540" w:hanging="450"/>
              <w:jc w:val="both"/>
              <w:rPr>
                <w:bCs/>
              </w:rPr>
            </w:pPr>
            <w:r>
              <w:rPr>
                <w:bCs/>
              </w:rPr>
              <w:t>7.0%</w:t>
            </w:r>
          </w:p>
        </w:tc>
        <w:tc>
          <w:tcPr>
            <w:tcW w:w="0" w:type="auto"/>
            <w:shd w:val="clear" w:color="auto" w:fill="auto"/>
          </w:tcPr>
          <w:p w:rsidR="0096327E" w:rsidRPr="003A7970" w:rsidRDefault="0096327E" w:rsidP="008F0D50">
            <w:pPr>
              <w:ind w:left="540" w:hanging="450"/>
              <w:jc w:val="both"/>
              <w:rPr>
                <w:bCs/>
              </w:rPr>
            </w:pPr>
            <w:r>
              <w:rPr>
                <w:bCs/>
              </w:rPr>
              <w:t>31.12.2015</w:t>
            </w:r>
          </w:p>
        </w:tc>
        <w:tc>
          <w:tcPr>
            <w:tcW w:w="0" w:type="auto"/>
            <w:shd w:val="clear" w:color="auto" w:fill="auto"/>
          </w:tcPr>
          <w:p w:rsidR="0096327E" w:rsidRDefault="0096327E" w:rsidP="008F0D50">
            <w:pPr>
              <w:ind w:left="540" w:hanging="450"/>
              <w:jc w:val="center"/>
              <w:rPr>
                <w:bCs/>
              </w:rPr>
            </w:pPr>
            <w:r>
              <w:rPr>
                <w:bCs/>
              </w:rPr>
              <w:t>4,200,000</w:t>
            </w:r>
          </w:p>
        </w:tc>
        <w:tc>
          <w:tcPr>
            <w:tcW w:w="0" w:type="auto"/>
            <w:shd w:val="clear" w:color="auto" w:fill="auto"/>
          </w:tcPr>
          <w:p w:rsidR="0096327E" w:rsidRPr="003A7970" w:rsidRDefault="0096327E" w:rsidP="008F0D50">
            <w:pPr>
              <w:ind w:left="540" w:hanging="450"/>
              <w:jc w:val="both"/>
              <w:rPr>
                <w:bCs/>
              </w:rPr>
            </w:pPr>
            <w:r>
              <w:rPr>
                <w:bCs/>
              </w:rPr>
              <w:t>09.09.2015</w:t>
            </w:r>
          </w:p>
        </w:tc>
        <w:tc>
          <w:tcPr>
            <w:tcW w:w="0" w:type="auto"/>
            <w:shd w:val="clear" w:color="auto" w:fill="auto"/>
          </w:tcPr>
          <w:p w:rsidR="0096327E" w:rsidRDefault="0096327E" w:rsidP="008F0D50">
            <w:pPr>
              <w:ind w:left="540" w:hanging="450"/>
              <w:jc w:val="both"/>
              <w:rPr>
                <w:bCs/>
              </w:rPr>
            </w:pPr>
            <w:r>
              <w:rPr>
                <w:bCs/>
              </w:rPr>
              <w:t>23.09.2015</w:t>
            </w:r>
          </w:p>
        </w:tc>
      </w:tr>
    </w:tbl>
    <w:p w:rsidR="00047E6C" w:rsidRPr="00047E6C" w:rsidRDefault="005C5597" w:rsidP="00047E6C">
      <w:pPr>
        <w:ind w:left="540" w:hanging="450"/>
        <w:jc w:val="both"/>
        <w:rPr>
          <w:bCs/>
        </w:rPr>
      </w:pPr>
      <w:r>
        <w:rPr>
          <w:bCs/>
        </w:rPr>
        <w:tab/>
        <w:t>(Note: The above dividends paid are based on paid up capital of 60,000,000</w:t>
      </w:r>
      <w:r w:rsidR="00C369A6">
        <w:rPr>
          <w:bCs/>
        </w:rPr>
        <w:t xml:space="preserve"> ordinary shares of RM1 each).</w:t>
      </w:r>
    </w:p>
    <w:p w:rsidR="009D7CA3" w:rsidRDefault="009D7CA3" w:rsidP="00D02EF6">
      <w:pPr>
        <w:ind w:left="540" w:hanging="450"/>
        <w:jc w:val="both"/>
        <w:rPr>
          <w:bCs/>
        </w:rPr>
      </w:pPr>
    </w:p>
    <w:p w:rsidR="009D7CA3" w:rsidRDefault="009D7CA3" w:rsidP="00D02EF6">
      <w:pPr>
        <w:ind w:left="540" w:hanging="450"/>
        <w:jc w:val="both"/>
        <w:rPr>
          <w:bCs/>
        </w:rPr>
      </w:pPr>
    </w:p>
    <w:p w:rsidR="00520BD6" w:rsidRDefault="00520BD6" w:rsidP="00D02EF6">
      <w:pPr>
        <w:ind w:left="540" w:hanging="450"/>
        <w:jc w:val="both"/>
        <w:rPr>
          <w:bCs/>
        </w:rPr>
      </w:pPr>
      <w:r>
        <w:rPr>
          <w:bCs/>
        </w:rPr>
        <w:lastRenderedPageBreak/>
        <w:t>-continue</w:t>
      </w:r>
      <w:r w:rsidR="005C5597">
        <w:rPr>
          <w:bCs/>
        </w:rPr>
        <w:t>d</w:t>
      </w:r>
    </w:p>
    <w:p w:rsidR="00520BD6" w:rsidRDefault="00520BD6" w:rsidP="00D02EF6">
      <w:pPr>
        <w:ind w:left="540" w:hanging="450"/>
        <w:jc w:val="both"/>
        <w:rPr>
          <w:bCs/>
        </w:rPr>
      </w:pPr>
    </w:p>
    <w:p w:rsidR="009E69BF" w:rsidRDefault="009E69BF" w:rsidP="008846A5">
      <w:pPr>
        <w:jc w:val="both"/>
        <w:rPr>
          <w:b/>
        </w:rPr>
      </w:pPr>
      <w:r>
        <w:rPr>
          <w:bCs/>
        </w:rPr>
        <w:t xml:space="preserve"> </w:t>
      </w:r>
      <w:r w:rsidR="00A4070F">
        <w:rPr>
          <w:bCs/>
        </w:rPr>
        <w:t>9</w:t>
      </w:r>
      <w:r>
        <w:rPr>
          <w:bCs/>
        </w:rPr>
        <w:t xml:space="preserve">.     </w:t>
      </w:r>
      <w:r w:rsidR="008846A5" w:rsidRPr="008846A5">
        <w:rPr>
          <w:b/>
        </w:rPr>
        <w:t>Segmental Reporting</w:t>
      </w:r>
    </w:p>
    <w:p w:rsidR="00BA28BF" w:rsidRDefault="00BA28BF" w:rsidP="00BA28BF">
      <w:pPr>
        <w:ind w:left="630" w:hanging="630"/>
        <w:jc w:val="both"/>
        <w:rPr>
          <w:b/>
        </w:rPr>
      </w:pPr>
      <w:r>
        <w:rPr>
          <w:b/>
        </w:rPr>
        <w:tab/>
      </w:r>
    </w:p>
    <w:p w:rsidR="009E69BF" w:rsidRDefault="00585A71" w:rsidP="004E5286">
      <w:pPr>
        <w:ind w:left="540"/>
        <w:jc w:val="both"/>
      </w:pPr>
      <w:r>
        <w:t xml:space="preserve">The Group is principally engaged in the manufacture and sale of furniture in Malaysia, hence, </w:t>
      </w:r>
      <w:r w:rsidR="004E5286">
        <w:t>an analysis by geographical segment in respect of revenue is presented as follows: -</w:t>
      </w:r>
    </w:p>
    <w:p w:rsidR="004E5286" w:rsidRDefault="004E5286" w:rsidP="004E5286">
      <w:pPr>
        <w:jc w:val="both"/>
      </w:pPr>
    </w:p>
    <w:p w:rsidR="004E5286" w:rsidRDefault="004E5286" w:rsidP="004E5286">
      <w:pPr>
        <w:jc w:val="both"/>
      </w:pPr>
      <w:r>
        <w:t xml:space="preserve">                                                                                           Current Quarter       </w:t>
      </w:r>
      <w:r w:rsidR="00865AA9">
        <w:t xml:space="preserve"> </w:t>
      </w:r>
      <w:r>
        <w:t xml:space="preserve"> Year to date</w:t>
      </w:r>
    </w:p>
    <w:p w:rsidR="004E5286" w:rsidRDefault="004E5286" w:rsidP="008846A5">
      <w:pPr>
        <w:jc w:val="both"/>
      </w:pPr>
      <w:r>
        <w:t xml:space="preserve">                                                                                         </w:t>
      </w:r>
      <w:r w:rsidR="008846A5">
        <w:t xml:space="preserve">  </w:t>
      </w:r>
      <w:r>
        <w:t xml:space="preserve">   </w:t>
      </w:r>
      <w:r w:rsidR="008F0D50">
        <w:t xml:space="preserve">   </w:t>
      </w:r>
      <w:r w:rsidR="00E37975">
        <w:t xml:space="preserve"> </w:t>
      </w:r>
      <w:r>
        <w:t>3</w:t>
      </w:r>
      <w:r w:rsidR="00704CA2">
        <w:t xml:space="preserve">0 </w:t>
      </w:r>
      <w:r w:rsidR="0096327E">
        <w:t>Sept</w:t>
      </w:r>
      <w:r w:rsidR="005E1309">
        <w:t xml:space="preserve">    </w:t>
      </w:r>
      <w:r>
        <w:t xml:space="preserve"> </w:t>
      </w:r>
      <w:r w:rsidR="00E37975">
        <w:t xml:space="preserve">    </w:t>
      </w:r>
      <w:r w:rsidR="005E1309">
        <w:t xml:space="preserve">   </w:t>
      </w:r>
      <w:r w:rsidR="008846A5">
        <w:t xml:space="preserve">     </w:t>
      </w:r>
      <w:r w:rsidR="005E1309">
        <w:t xml:space="preserve">  3</w:t>
      </w:r>
      <w:r w:rsidR="00704CA2">
        <w:t xml:space="preserve">0 </w:t>
      </w:r>
      <w:r w:rsidR="0096327E">
        <w:t>Sept</w:t>
      </w:r>
      <w:r>
        <w:t xml:space="preserve">                                              </w:t>
      </w:r>
    </w:p>
    <w:p w:rsidR="004E5286" w:rsidRDefault="005E1309" w:rsidP="00091D67">
      <w:pPr>
        <w:jc w:val="both"/>
      </w:pPr>
      <w:r>
        <w:tab/>
      </w:r>
      <w:r w:rsidR="004E5286">
        <w:t xml:space="preserve">            </w:t>
      </w:r>
      <w:r w:rsidR="00390052">
        <w:t xml:space="preserve"> </w:t>
      </w:r>
      <w:r w:rsidR="004E5286">
        <w:t xml:space="preserve">                                               </w:t>
      </w:r>
      <w:r w:rsidR="00390052">
        <w:t xml:space="preserve"> </w:t>
      </w:r>
      <w:r w:rsidR="004E5286">
        <w:tab/>
      </w:r>
      <w:r w:rsidR="004E5286">
        <w:tab/>
      </w:r>
      <w:r>
        <w:tab/>
      </w:r>
      <w:r w:rsidR="004E5286">
        <w:t xml:space="preserve">    </w:t>
      </w:r>
      <w:r w:rsidR="004E5286">
        <w:tab/>
      </w:r>
      <w:r w:rsidR="00390052">
        <w:t xml:space="preserve"> </w:t>
      </w:r>
      <w:r w:rsidR="004E5286">
        <w:tab/>
      </w:r>
      <w:r w:rsidR="004E5286">
        <w:tab/>
      </w:r>
      <w:r w:rsidR="004E5286">
        <w:tab/>
      </w:r>
      <w:r w:rsidR="00994F2F">
        <w:tab/>
      </w:r>
      <w:r w:rsidR="00840061">
        <w:t xml:space="preserve">          </w:t>
      </w:r>
      <w:r w:rsidR="00840061">
        <w:tab/>
      </w:r>
      <w:r w:rsidR="004E5286">
        <w:tab/>
      </w:r>
      <w:r w:rsidR="004E5286">
        <w:tab/>
        <w:t xml:space="preserve">      </w:t>
      </w:r>
      <w:r w:rsidR="006A5EB2">
        <w:tab/>
        <w:t xml:space="preserve">  </w:t>
      </w:r>
      <w:r w:rsidR="004E5286">
        <w:t xml:space="preserve"> </w:t>
      </w:r>
      <w:r>
        <w:t xml:space="preserve"> </w:t>
      </w:r>
      <w:r>
        <w:tab/>
        <w:t xml:space="preserve">    </w:t>
      </w:r>
      <w:r w:rsidR="00390052">
        <w:t xml:space="preserve">            </w:t>
      </w:r>
      <w:r>
        <w:t xml:space="preserve"> 201</w:t>
      </w:r>
      <w:r w:rsidR="008F0D50">
        <w:t>5</w:t>
      </w:r>
      <w:r>
        <w:t xml:space="preserve"> </w:t>
      </w:r>
      <w:r w:rsidR="004E5286">
        <w:t xml:space="preserve">  </w:t>
      </w:r>
      <w:r>
        <w:t xml:space="preserve">       201</w:t>
      </w:r>
      <w:r w:rsidR="008F0D50">
        <w:t>4</w:t>
      </w:r>
      <w:r>
        <w:t xml:space="preserve">         201</w:t>
      </w:r>
      <w:r w:rsidR="008F0D50">
        <w:t>5</w:t>
      </w:r>
      <w:r>
        <w:t xml:space="preserve">         201</w:t>
      </w:r>
      <w:r w:rsidR="008F0D50">
        <w:t>4</w:t>
      </w:r>
    </w:p>
    <w:p w:rsidR="004E5286" w:rsidRDefault="004E5286" w:rsidP="004E5286">
      <w:pPr>
        <w:jc w:val="both"/>
      </w:pPr>
      <w:r>
        <w:t xml:space="preserve">                                                                                      RM’000    </w:t>
      </w:r>
      <w:proofErr w:type="spellStart"/>
      <w:r>
        <w:t>RM’000</w:t>
      </w:r>
      <w:proofErr w:type="spellEnd"/>
      <w:r>
        <w:t xml:space="preserve">    </w:t>
      </w:r>
      <w:proofErr w:type="spellStart"/>
      <w:r>
        <w:t>RM’000</w:t>
      </w:r>
      <w:proofErr w:type="spellEnd"/>
      <w:r>
        <w:t xml:space="preserve">    </w:t>
      </w:r>
      <w:proofErr w:type="spellStart"/>
      <w:r>
        <w:t>RM’000</w:t>
      </w:r>
      <w:proofErr w:type="spellEnd"/>
      <w:r>
        <w:t xml:space="preserve"> </w:t>
      </w:r>
    </w:p>
    <w:p w:rsidR="00DF4E5D" w:rsidRDefault="004E5286" w:rsidP="00091D67">
      <w:pPr>
        <w:jc w:val="both"/>
      </w:pPr>
      <w:r>
        <w:tab/>
        <w:t>Africa</w:t>
      </w:r>
      <w:r>
        <w:tab/>
      </w:r>
      <w:r>
        <w:tab/>
      </w:r>
      <w:r>
        <w:tab/>
      </w:r>
      <w:r>
        <w:tab/>
      </w:r>
      <w:r>
        <w:tab/>
      </w:r>
      <w:r>
        <w:tab/>
      </w:r>
      <w:r w:rsidR="00042A9E">
        <w:t xml:space="preserve">    </w:t>
      </w:r>
      <w:r w:rsidR="00390052">
        <w:t xml:space="preserve">  </w:t>
      </w:r>
      <w:r w:rsidR="00B51004">
        <w:t xml:space="preserve">   803</w:t>
      </w:r>
      <w:r w:rsidR="00390052">
        <w:t xml:space="preserve">      </w:t>
      </w:r>
      <w:r w:rsidR="008F49E1">
        <w:t xml:space="preserve">     </w:t>
      </w:r>
      <w:r w:rsidR="00B51004">
        <w:t>925</w:t>
      </w:r>
      <w:r w:rsidR="00390052">
        <w:t xml:space="preserve"> </w:t>
      </w:r>
      <w:r w:rsidR="008F49E1">
        <w:t xml:space="preserve"> </w:t>
      </w:r>
      <w:r w:rsidR="00390052">
        <w:t xml:space="preserve">       </w:t>
      </w:r>
      <w:r w:rsidR="00B51004">
        <w:t>2</w:t>
      </w:r>
      <w:r w:rsidR="006118F6">
        <w:t>,</w:t>
      </w:r>
      <w:r w:rsidR="00B51004">
        <w:t>227</w:t>
      </w:r>
      <w:r w:rsidR="00DF4E5D">
        <w:t xml:space="preserve">    </w:t>
      </w:r>
      <w:r w:rsidR="008F49E1">
        <w:t xml:space="preserve">   </w:t>
      </w:r>
      <w:r w:rsidR="00DF4E5D">
        <w:t xml:space="preserve"> </w:t>
      </w:r>
      <w:r w:rsidR="008F0D50">
        <w:t xml:space="preserve"> </w:t>
      </w:r>
      <w:r w:rsidR="00DF4E5D">
        <w:t xml:space="preserve"> </w:t>
      </w:r>
      <w:r w:rsidR="00B51004">
        <w:t>1,687</w:t>
      </w:r>
    </w:p>
    <w:p w:rsidR="004E5286" w:rsidRDefault="004E5286" w:rsidP="00091D67">
      <w:pPr>
        <w:jc w:val="both"/>
      </w:pPr>
      <w:r>
        <w:tab/>
        <w:t>America</w:t>
      </w:r>
      <w:r>
        <w:tab/>
      </w:r>
      <w:r>
        <w:tab/>
      </w:r>
      <w:r>
        <w:tab/>
      </w:r>
      <w:r>
        <w:tab/>
      </w:r>
      <w:r w:rsidR="00074AEB">
        <w:t xml:space="preserve">         </w:t>
      </w:r>
      <w:r w:rsidR="00544D71">
        <w:t xml:space="preserve"> </w:t>
      </w:r>
      <w:r w:rsidR="00074AEB">
        <w:t xml:space="preserve">    </w:t>
      </w:r>
      <w:r w:rsidR="006118F6">
        <w:t>1</w:t>
      </w:r>
      <w:r w:rsidR="00B51004">
        <w:t>1</w:t>
      </w:r>
      <w:r w:rsidR="006118F6">
        <w:t>5</w:t>
      </w:r>
      <w:r w:rsidR="00E37975">
        <w:t>,</w:t>
      </w:r>
      <w:r w:rsidR="00B51004">
        <w:t>652</w:t>
      </w:r>
      <w:r w:rsidR="00390052">
        <w:t xml:space="preserve">      </w:t>
      </w:r>
      <w:r w:rsidR="00B51004">
        <w:t>80</w:t>
      </w:r>
      <w:r w:rsidR="008F49E1">
        <w:t>,</w:t>
      </w:r>
      <w:r w:rsidR="00B51004">
        <w:t>738</w:t>
      </w:r>
      <w:r w:rsidR="00390052">
        <w:t xml:space="preserve">   </w:t>
      </w:r>
      <w:r w:rsidR="00091D67">
        <w:t xml:space="preserve">  </w:t>
      </w:r>
      <w:r w:rsidR="00B51004">
        <w:t>308</w:t>
      </w:r>
      <w:r w:rsidR="00091D67">
        <w:t>,</w:t>
      </w:r>
      <w:r w:rsidR="00B51004">
        <w:t>026</w:t>
      </w:r>
      <w:r w:rsidR="008F49E1">
        <w:t xml:space="preserve">     </w:t>
      </w:r>
      <w:r w:rsidR="00091D67">
        <w:t xml:space="preserve"> </w:t>
      </w:r>
      <w:r w:rsidR="00B51004">
        <w:t>236</w:t>
      </w:r>
      <w:r w:rsidR="00091D67">
        <w:t>,</w:t>
      </w:r>
      <w:r w:rsidR="00B51004">
        <w:t>579</w:t>
      </w:r>
    </w:p>
    <w:p w:rsidR="008F49E1" w:rsidRDefault="004E5286" w:rsidP="00B45F62">
      <w:pPr>
        <w:jc w:val="both"/>
      </w:pPr>
      <w:r>
        <w:tab/>
        <w:t>Asia</w:t>
      </w:r>
      <w:r>
        <w:tab/>
      </w:r>
      <w:r>
        <w:tab/>
      </w:r>
      <w:r>
        <w:tab/>
      </w:r>
      <w:r>
        <w:tab/>
      </w:r>
      <w:r>
        <w:tab/>
      </w:r>
      <w:r>
        <w:tab/>
      </w:r>
      <w:r w:rsidR="00042A9E">
        <w:t xml:space="preserve"> </w:t>
      </w:r>
      <w:r w:rsidR="00E60268">
        <w:t xml:space="preserve"> </w:t>
      </w:r>
      <w:r w:rsidR="00390052">
        <w:t xml:space="preserve"> </w:t>
      </w:r>
      <w:r w:rsidR="00091D67">
        <w:t xml:space="preserve"> </w:t>
      </w:r>
      <w:r w:rsidR="00390052">
        <w:t>1</w:t>
      </w:r>
      <w:r w:rsidR="00B51004">
        <w:t>6</w:t>
      </w:r>
      <w:r w:rsidR="00B45F62">
        <w:t>,</w:t>
      </w:r>
      <w:r w:rsidR="00B51004">
        <w:t>192</w:t>
      </w:r>
      <w:r w:rsidR="00390052">
        <w:t xml:space="preserve"> </w:t>
      </w:r>
      <w:r w:rsidR="00091D67">
        <w:t xml:space="preserve">   </w:t>
      </w:r>
      <w:r w:rsidR="00B45F62">
        <w:t xml:space="preserve">  </w:t>
      </w:r>
      <w:r w:rsidR="008F0D50">
        <w:t>1</w:t>
      </w:r>
      <w:r w:rsidR="00B51004">
        <w:t>3</w:t>
      </w:r>
      <w:r w:rsidR="00091D67">
        <w:t>,</w:t>
      </w:r>
      <w:r w:rsidR="00B51004">
        <w:t>103</w:t>
      </w:r>
      <w:r w:rsidR="00390052">
        <w:t xml:space="preserve"> </w:t>
      </w:r>
      <w:r w:rsidR="00091D67">
        <w:t xml:space="preserve">   </w:t>
      </w:r>
      <w:r w:rsidR="00B45F62">
        <w:t xml:space="preserve"> </w:t>
      </w:r>
      <w:r w:rsidR="00091D67">
        <w:t xml:space="preserve">  </w:t>
      </w:r>
      <w:r w:rsidR="00B51004">
        <w:t>49</w:t>
      </w:r>
      <w:r w:rsidR="00D21486">
        <w:t>,</w:t>
      </w:r>
      <w:r w:rsidR="00B51004">
        <w:t>55</w:t>
      </w:r>
      <w:r w:rsidR="00261920">
        <w:t>5</w:t>
      </w:r>
      <w:r w:rsidR="00B45F62">
        <w:t xml:space="preserve"> </w:t>
      </w:r>
      <w:r w:rsidR="008F49E1">
        <w:t xml:space="preserve"> </w:t>
      </w:r>
      <w:r w:rsidR="00091D67">
        <w:t xml:space="preserve">      </w:t>
      </w:r>
      <w:r w:rsidR="00B51004">
        <w:t>35</w:t>
      </w:r>
      <w:r w:rsidR="00091D67">
        <w:t>,</w:t>
      </w:r>
      <w:r w:rsidR="00B51004">
        <w:t>217</w:t>
      </w:r>
    </w:p>
    <w:p w:rsidR="004E5286" w:rsidRDefault="008F49E1" w:rsidP="00091D67">
      <w:pPr>
        <w:jc w:val="both"/>
      </w:pPr>
      <w:r>
        <w:t xml:space="preserve">            </w:t>
      </w:r>
      <w:r w:rsidR="004E5286">
        <w:t>Australia</w:t>
      </w:r>
      <w:r w:rsidR="004E5286">
        <w:tab/>
      </w:r>
      <w:r w:rsidR="004E5286">
        <w:tab/>
      </w:r>
      <w:r w:rsidR="004E5286">
        <w:tab/>
      </w:r>
      <w:r w:rsidR="004E5286">
        <w:tab/>
      </w:r>
      <w:r w:rsidR="004E5286">
        <w:tab/>
      </w:r>
      <w:r w:rsidR="00042A9E">
        <w:t xml:space="preserve">   </w:t>
      </w:r>
      <w:r w:rsidR="00390052">
        <w:t xml:space="preserve">     </w:t>
      </w:r>
      <w:r w:rsidR="00091D67">
        <w:t xml:space="preserve"> </w:t>
      </w:r>
      <w:r w:rsidR="00B51004">
        <w:t>516</w:t>
      </w:r>
      <w:r w:rsidR="00390052">
        <w:t xml:space="preserve"> </w:t>
      </w:r>
      <w:r w:rsidR="00544D71">
        <w:t xml:space="preserve"> </w:t>
      </w:r>
      <w:r w:rsidR="00042A9E">
        <w:t xml:space="preserve">  </w:t>
      </w:r>
      <w:r w:rsidR="004E5286">
        <w:t xml:space="preserve"> </w:t>
      </w:r>
      <w:r w:rsidR="004E5286">
        <w:tab/>
      </w:r>
      <w:r>
        <w:t xml:space="preserve"> </w:t>
      </w:r>
      <w:r w:rsidR="00983FEF">
        <w:t xml:space="preserve"> </w:t>
      </w:r>
      <w:r w:rsidR="00B51004">
        <w:t>535</w:t>
      </w:r>
      <w:r w:rsidR="00CA0E68">
        <w:t xml:space="preserve">   </w:t>
      </w:r>
      <w:r w:rsidR="00390052">
        <w:t xml:space="preserve">     </w:t>
      </w:r>
      <w:r w:rsidR="00B51004">
        <w:t xml:space="preserve"> 1,358</w:t>
      </w:r>
      <w:r w:rsidR="00390052">
        <w:t xml:space="preserve"> </w:t>
      </w:r>
      <w:r>
        <w:t xml:space="preserve">         </w:t>
      </w:r>
      <w:r w:rsidR="008F0D50">
        <w:t xml:space="preserve"> </w:t>
      </w:r>
      <w:r>
        <w:t xml:space="preserve"> </w:t>
      </w:r>
      <w:r w:rsidR="00091D67">
        <w:t xml:space="preserve"> </w:t>
      </w:r>
      <w:r w:rsidR="00B51004">
        <w:t>610</w:t>
      </w:r>
    </w:p>
    <w:p w:rsidR="004E5286" w:rsidRDefault="004E5286" w:rsidP="00B45F62">
      <w:pPr>
        <w:jc w:val="both"/>
      </w:pPr>
      <w:r>
        <w:tab/>
        <w:t>Europe</w:t>
      </w:r>
      <w:r>
        <w:tab/>
      </w:r>
      <w:r>
        <w:tab/>
      </w:r>
      <w:r>
        <w:tab/>
      </w:r>
      <w:r>
        <w:tab/>
      </w:r>
      <w:r>
        <w:tab/>
      </w:r>
      <w:r w:rsidR="00042A9E">
        <w:t xml:space="preserve">               </w:t>
      </w:r>
      <w:r w:rsidR="00544D71">
        <w:t xml:space="preserve"> </w:t>
      </w:r>
      <w:r w:rsidR="00042A9E">
        <w:t xml:space="preserve">   </w:t>
      </w:r>
      <w:r w:rsidR="00B45F62">
        <w:t xml:space="preserve"> </w:t>
      </w:r>
      <w:r w:rsidR="00E37975">
        <w:t xml:space="preserve"> </w:t>
      </w:r>
      <w:r w:rsidR="00261920">
        <w:t xml:space="preserve">  -</w:t>
      </w:r>
      <w:r w:rsidR="00635666">
        <w:t xml:space="preserve">  </w:t>
      </w:r>
      <w:r>
        <w:tab/>
      </w:r>
      <w:r w:rsidR="00B45F62">
        <w:t xml:space="preserve"> </w:t>
      </w:r>
      <w:r w:rsidR="006118F6">
        <w:t xml:space="preserve"> </w:t>
      </w:r>
      <w:r w:rsidR="00261920">
        <w:t>183</w:t>
      </w:r>
      <w:r w:rsidR="00390052">
        <w:t xml:space="preserve">       </w:t>
      </w:r>
      <w:r w:rsidR="00091D67">
        <w:t xml:space="preserve">     </w:t>
      </w:r>
      <w:r w:rsidR="00CF53BD">
        <w:t>386</w:t>
      </w:r>
      <w:r w:rsidR="008F49E1">
        <w:t xml:space="preserve"> </w:t>
      </w:r>
      <w:r w:rsidR="00091D67">
        <w:t xml:space="preserve">            </w:t>
      </w:r>
      <w:r w:rsidR="00261920">
        <w:t>660</w:t>
      </w:r>
    </w:p>
    <w:p w:rsidR="004E5286" w:rsidRDefault="004E5286" w:rsidP="00B45F62">
      <w:pPr>
        <w:jc w:val="both"/>
      </w:pPr>
      <w:r>
        <w:tab/>
        <w:t>Malaysia</w:t>
      </w:r>
      <w:r>
        <w:tab/>
      </w:r>
      <w:r>
        <w:tab/>
      </w:r>
      <w:r>
        <w:tab/>
      </w:r>
      <w:r>
        <w:tab/>
      </w:r>
      <w:r w:rsidR="00042A9E">
        <w:t xml:space="preserve">                </w:t>
      </w:r>
      <w:r w:rsidR="006118F6">
        <w:t>1</w:t>
      </w:r>
      <w:r w:rsidR="00261920">
        <w:t>1</w:t>
      </w:r>
      <w:r w:rsidR="00390052">
        <w:t>,</w:t>
      </w:r>
      <w:r w:rsidR="00261920">
        <w:t>086</w:t>
      </w:r>
      <w:r w:rsidR="008F49E1">
        <w:t xml:space="preserve">        </w:t>
      </w:r>
      <w:r w:rsidR="00261920">
        <w:t>6</w:t>
      </w:r>
      <w:r w:rsidR="008F49E1">
        <w:t>,</w:t>
      </w:r>
      <w:r w:rsidR="00261920">
        <w:t>262</w:t>
      </w:r>
      <w:r w:rsidR="00390052">
        <w:t xml:space="preserve">      </w:t>
      </w:r>
      <w:r w:rsidR="008F0D50">
        <w:t xml:space="preserve"> </w:t>
      </w:r>
      <w:r w:rsidR="00261920">
        <w:t>33</w:t>
      </w:r>
      <w:r w:rsidR="00390052">
        <w:t>,</w:t>
      </w:r>
      <w:r w:rsidR="00261920">
        <w:t>054</w:t>
      </w:r>
      <w:r w:rsidR="00390052">
        <w:t xml:space="preserve"> </w:t>
      </w:r>
      <w:r w:rsidR="008F49E1">
        <w:t xml:space="preserve">     </w:t>
      </w:r>
      <w:r w:rsidR="00B45F62">
        <w:t xml:space="preserve"> </w:t>
      </w:r>
      <w:r w:rsidR="008F49E1">
        <w:t xml:space="preserve"> </w:t>
      </w:r>
      <w:r w:rsidR="00261920">
        <w:t>20</w:t>
      </w:r>
      <w:r w:rsidR="008F49E1">
        <w:t>,</w:t>
      </w:r>
      <w:r w:rsidR="00261920">
        <w:t>197</w:t>
      </w:r>
    </w:p>
    <w:p w:rsidR="004E5286" w:rsidRDefault="00DF6672" w:rsidP="0009591B">
      <w:pPr>
        <w:jc w:val="both"/>
      </w:pPr>
      <w:r>
        <w:t xml:space="preserve">                                                                                   </w:t>
      </w:r>
      <w:r w:rsidR="00703205">
        <w:t>----</w:t>
      </w:r>
      <w:r>
        <w:t>---------------------------------------------------</w:t>
      </w:r>
    </w:p>
    <w:p w:rsidR="00DF6672" w:rsidRDefault="0049742A" w:rsidP="00B45F62">
      <w:pPr>
        <w:jc w:val="both"/>
      </w:pPr>
      <w:r>
        <w:t xml:space="preserve">                   </w:t>
      </w:r>
      <w:r w:rsidR="00DF6672">
        <w:t xml:space="preserve">                                                                   </w:t>
      </w:r>
      <w:r w:rsidR="00614B98">
        <w:t>1</w:t>
      </w:r>
      <w:r w:rsidR="00261920">
        <w:t>44</w:t>
      </w:r>
      <w:r w:rsidR="00042A9E">
        <w:t>,</w:t>
      </w:r>
      <w:r w:rsidR="006118F6">
        <w:t>2</w:t>
      </w:r>
      <w:r w:rsidR="00261920">
        <w:t>49</w:t>
      </w:r>
      <w:r w:rsidR="00DF6672">
        <w:t xml:space="preserve">     </w:t>
      </w:r>
      <w:r w:rsidR="00261920">
        <w:t>101</w:t>
      </w:r>
      <w:r w:rsidR="008F49E1">
        <w:t>,</w:t>
      </w:r>
      <w:r w:rsidR="00261920">
        <w:t>746</w:t>
      </w:r>
      <w:r w:rsidR="00DF6672">
        <w:t xml:space="preserve">    </w:t>
      </w:r>
      <w:r w:rsidR="008F0D50">
        <w:t xml:space="preserve"> </w:t>
      </w:r>
      <w:r w:rsidR="00261920">
        <w:t>394</w:t>
      </w:r>
      <w:r w:rsidR="00703205">
        <w:t>,</w:t>
      </w:r>
      <w:r w:rsidR="00261920">
        <w:t>606</w:t>
      </w:r>
      <w:r w:rsidR="00DF6672">
        <w:t xml:space="preserve">    </w:t>
      </w:r>
      <w:r w:rsidR="00E565D9">
        <w:t xml:space="preserve"> </w:t>
      </w:r>
      <w:r w:rsidR="008F0D50">
        <w:t xml:space="preserve"> </w:t>
      </w:r>
      <w:r w:rsidR="00261920">
        <w:t>2</w:t>
      </w:r>
      <w:r w:rsidR="008F0D50">
        <w:t>9</w:t>
      </w:r>
      <w:r w:rsidR="00261920">
        <w:t>4</w:t>
      </w:r>
      <w:r w:rsidR="008F0D50">
        <w:t>,</w:t>
      </w:r>
      <w:r w:rsidR="00261920">
        <w:t>950</w:t>
      </w:r>
    </w:p>
    <w:p w:rsidR="0049742A" w:rsidRDefault="0049742A" w:rsidP="0049742A">
      <w:pPr>
        <w:jc w:val="both"/>
      </w:pPr>
      <w:r>
        <w:t xml:space="preserve">                                                                                   =================================</w:t>
      </w:r>
    </w:p>
    <w:p w:rsidR="0049742A" w:rsidRDefault="0049742A" w:rsidP="003E7C5C">
      <w:pPr>
        <w:jc w:val="both"/>
      </w:pPr>
    </w:p>
    <w:p w:rsidR="0049742A" w:rsidRDefault="00994F2F" w:rsidP="0049742A">
      <w:pPr>
        <w:jc w:val="both"/>
      </w:pPr>
      <w:r>
        <w:t xml:space="preserve">10. </w:t>
      </w:r>
      <w:r w:rsidR="009E69BF">
        <w:rPr>
          <w:b/>
        </w:rPr>
        <w:t xml:space="preserve">  </w:t>
      </w:r>
      <w:r w:rsidR="0049742A">
        <w:rPr>
          <w:b/>
        </w:rPr>
        <w:t xml:space="preserve"> </w:t>
      </w:r>
      <w:r w:rsidR="009E69BF">
        <w:rPr>
          <w:b/>
        </w:rPr>
        <w:t>Valuation of property, plant and equipment</w:t>
      </w:r>
      <w:r w:rsidR="0049742A">
        <w:t xml:space="preserve">                                                                                   </w:t>
      </w:r>
    </w:p>
    <w:p w:rsidR="0049742A" w:rsidRDefault="0049742A" w:rsidP="0049742A">
      <w:pPr>
        <w:ind w:left="540"/>
        <w:jc w:val="both"/>
        <w:rPr>
          <w:bCs/>
          <w:szCs w:val="24"/>
        </w:rPr>
      </w:pPr>
    </w:p>
    <w:p w:rsidR="00B44EFF" w:rsidRDefault="00AD14C9" w:rsidP="00AD14C9">
      <w:pPr>
        <w:ind w:left="540"/>
        <w:jc w:val="both"/>
        <w:rPr>
          <w:bCs/>
          <w:szCs w:val="24"/>
        </w:rPr>
      </w:pPr>
      <w:r>
        <w:rPr>
          <w:bCs/>
          <w:szCs w:val="24"/>
        </w:rPr>
        <w:t>The properties which were revalued on 2014 have been brought forward from the previous financial statements and there were no valuations of properties, plant and equipment for period ended 3</w:t>
      </w:r>
      <w:r w:rsidR="00CF53BD">
        <w:rPr>
          <w:bCs/>
          <w:szCs w:val="24"/>
        </w:rPr>
        <w:t xml:space="preserve">0 </w:t>
      </w:r>
      <w:r w:rsidR="0096327E">
        <w:rPr>
          <w:bCs/>
          <w:szCs w:val="24"/>
        </w:rPr>
        <w:t>September</w:t>
      </w:r>
      <w:r>
        <w:rPr>
          <w:bCs/>
          <w:szCs w:val="24"/>
        </w:rPr>
        <w:t xml:space="preserve"> 2015.</w:t>
      </w:r>
    </w:p>
    <w:p w:rsidR="00AD14C9" w:rsidRDefault="00AD14C9" w:rsidP="00AD14C9">
      <w:pPr>
        <w:ind w:left="540"/>
        <w:jc w:val="both"/>
      </w:pPr>
    </w:p>
    <w:p w:rsidR="009E69BF" w:rsidRDefault="00153FA6" w:rsidP="00153FA6">
      <w:pPr>
        <w:jc w:val="both"/>
      </w:pPr>
      <w:r w:rsidRPr="00153FA6">
        <w:t>11.</w:t>
      </w:r>
      <w:r>
        <w:rPr>
          <w:b/>
        </w:rPr>
        <w:t xml:space="preserve">    </w:t>
      </w:r>
      <w:r w:rsidR="00870339">
        <w:rPr>
          <w:b/>
        </w:rPr>
        <w:t>Material events s</w:t>
      </w:r>
      <w:r w:rsidR="009E69BF">
        <w:rPr>
          <w:b/>
        </w:rPr>
        <w:t xml:space="preserve">ubsequent </w:t>
      </w:r>
      <w:r w:rsidR="00870339">
        <w:rPr>
          <w:b/>
        </w:rPr>
        <w:t>to the end of the period</w:t>
      </w:r>
      <w:r w:rsidR="009E69BF">
        <w:t xml:space="preserve">  </w:t>
      </w:r>
    </w:p>
    <w:p w:rsidR="00153FA6" w:rsidRDefault="00153FA6" w:rsidP="00153FA6">
      <w:pPr>
        <w:jc w:val="both"/>
      </w:pPr>
    </w:p>
    <w:p w:rsidR="00B45F62" w:rsidRDefault="00F10876" w:rsidP="00B747E3">
      <w:pPr>
        <w:ind w:left="540"/>
        <w:jc w:val="both"/>
      </w:pPr>
      <w:r>
        <w:t>There were no material events subsequent to 3</w:t>
      </w:r>
      <w:r w:rsidR="00CF53BD">
        <w:t xml:space="preserve">0 </w:t>
      </w:r>
      <w:r w:rsidR="0096327E">
        <w:t>September</w:t>
      </w:r>
      <w:r w:rsidR="00994F2F">
        <w:t xml:space="preserve"> 201</w:t>
      </w:r>
      <w:r w:rsidR="00AD14C9">
        <w:t>5</w:t>
      </w:r>
      <w:r w:rsidR="00E565D9">
        <w:t>.</w:t>
      </w:r>
    </w:p>
    <w:p w:rsidR="00B747E3" w:rsidRDefault="00B747E3" w:rsidP="00B747E3">
      <w:pPr>
        <w:ind w:left="540"/>
        <w:jc w:val="both"/>
      </w:pPr>
    </w:p>
    <w:p w:rsidR="00E35F2C" w:rsidRDefault="00E35F2C" w:rsidP="00B747E3">
      <w:pPr>
        <w:ind w:left="540"/>
        <w:jc w:val="both"/>
      </w:pPr>
    </w:p>
    <w:p w:rsidR="009E69BF" w:rsidRDefault="009E69BF">
      <w:pPr>
        <w:jc w:val="both"/>
        <w:rPr>
          <w:b/>
        </w:rPr>
      </w:pPr>
      <w:r>
        <w:t>1</w:t>
      </w:r>
      <w:r w:rsidR="00585A71">
        <w:t>2</w:t>
      </w:r>
      <w:r>
        <w:t>.</w:t>
      </w:r>
      <w:r>
        <w:rPr>
          <w:b/>
        </w:rPr>
        <w:t xml:space="preserve">   Changes in the composition of the Group</w:t>
      </w:r>
    </w:p>
    <w:p w:rsidR="009E69BF" w:rsidRDefault="009E69BF">
      <w:pPr>
        <w:jc w:val="both"/>
        <w:rPr>
          <w:b/>
          <w:sz w:val="16"/>
        </w:rPr>
      </w:pPr>
    </w:p>
    <w:p w:rsidR="003D382B" w:rsidRDefault="008C1900" w:rsidP="00B45F62">
      <w:pPr>
        <w:ind w:left="540"/>
        <w:jc w:val="both"/>
      </w:pPr>
      <w:r>
        <w:t>There were no changes in the composition of the Company for the period ended 3</w:t>
      </w:r>
      <w:r w:rsidR="00CF53BD">
        <w:t xml:space="preserve">0 </w:t>
      </w:r>
      <w:r w:rsidR="0096327E">
        <w:t>September</w:t>
      </w:r>
      <w:r w:rsidR="00994F2F">
        <w:t xml:space="preserve"> 201</w:t>
      </w:r>
      <w:r w:rsidR="00AD14C9">
        <w:t>5</w:t>
      </w:r>
      <w:r w:rsidR="00994F2F">
        <w:t>.</w:t>
      </w:r>
    </w:p>
    <w:p w:rsidR="00703205" w:rsidRDefault="00703205">
      <w:pPr>
        <w:jc w:val="both"/>
      </w:pPr>
    </w:p>
    <w:p w:rsidR="00E565D9" w:rsidRDefault="00E565D9">
      <w:pPr>
        <w:jc w:val="both"/>
      </w:pPr>
    </w:p>
    <w:p w:rsidR="009E69BF" w:rsidRDefault="009E69BF">
      <w:pPr>
        <w:jc w:val="both"/>
        <w:rPr>
          <w:b/>
        </w:rPr>
      </w:pPr>
      <w:r>
        <w:t>1</w:t>
      </w:r>
      <w:r w:rsidR="00585A71">
        <w:t>3</w:t>
      </w:r>
      <w:r>
        <w:t>.</w:t>
      </w:r>
      <w:r>
        <w:rPr>
          <w:b/>
        </w:rPr>
        <w:t xml:space="preserve">   Changes in contingent liabilities</w:t>
      </w:r>
    </w:p>
    <w:p w:rsidR="009E69BF" w:rsidRDefault="009E69BF">
      <w:pPr>
        <w:jc w:val="both"/>
      </w:pPr>
    </w:p>
    <w:p w:rsidR="009E69BF" w:rsidRDefault="009E69BF" w:rsidP="003D5FB1">
      <w:pPr>
        <w:ind w:left="720" w:hanging="720"/>
        <w:jc w:val="both"/>
        <w:rPr>
          <w:rFonts w:eastAsia="宋體"/>
          <w:lang w:eastAsia="zh-TW"/>
        </w:rPr>
      </w:pPr>
      <w:r>
        <w:t xml:space="preserve">        As at the date of this report, the Group has contingent liabilities </w:t>
      </w:r>
      <w:r>
        <w:rPr>
          <w:rFonts w:eastAsia="宋體" w:hint="eastAsia"/>
          <w:lang w:eastAsia="zh-TW"/>
        </w:rPr>
        <w:t>as follows:-</w:t>
      </w:r>
    </w:p>
    <w:p w:rsidR="009E69BF" w:rsidRDefault="000C5390">
      <w:pPr>
        <w:ind w:left="7200"/>
        <w:jc w:val="both"/>
        <w:rPr>
          <w:rFonts w:eastAsia="宋體"/>
          <w:lang w:eastAsia="zh-TW"/>
        </w:rPr>
      </w:pPr>
      <w:r>
        <w:rPr>
          <w:rFonts w:eastAsia="宋體"/>
          <w:lang w:eastAsia="zh-TW"/>
        </w:rPr>
        <w:t xml:space="preserve">        </w:t>
      </w:r>
      <w:r w:rsidR="00C64D38">
        <w:rPr>
          <w:rFonts w:eastAsia="宋體"/>
          <w:lang w:eastAsia="zh-TW"/>
        </w:rPr>
        <w:t xml:space="preserve">    </w:t>
      </w:r>
      <w:r>
        <w:rPr>
          <w:rFonts w:eastAsia="宋體"/>
          <w:lang w:eastAsia="zh-TW"/>
        </w:rPr>
        <w:t xml:space="preserve"> </w:t>
      </w:r>
      <w:r w:rsidR="009E69BF">
        <w:rPr>
          <w:rFonts w:eastAsia="宋體"/>
          <w:lang w:eastAsia="zh-TW"/>
        </w:rPr>
        <w:t>R</w:t>
      </w:r>
      <w:r w:rsidR="009E69BF">
        <w:rPr>
          <w:rFonts w:eastAsia="宋體" w:hint="eastAsia"/>
          <w:lang w:eastAsia="zh-TW"/>
        </w:rPr>
        <w:t>M</w:t>
      </w:r>
      <w:r w:rsidR="009E69BF">
        <w:rPr>
          <w:rFonts w:eastAsia="宋體"/>
          <w:lang w:eastAsia="zh-TW"/>
        </w:rPr>
        <w:t>’000</w:t>
      </w:r>
    </w:p>
    <w:p w:rsidR="009E69BF" w:rsidRDefault="009E69BF" w:rsidP="000C5390">
      <w:pPr>
        <w:ind w:left="540" w:hanging="540"/>
        <w:jc w:val="both"/>
        <w:rPr>
          <w:rFonts w:eastAsia="宋體"/>
          <w:lang w:eastAsia="zh-TW"/>
        </w:rPr>
      </w:pPr>
      <w:r>
        <w:rPr>
          <w:rFonts w:eastAsia="宋體" w:hint="eastAsia"/>
          <w:lang w:eastAsia="zh-TW"/>
        </w:rPr>
        <w:tab/>
        <w:t>Counter indemnities to banks for bank guarantees issued</w:t>
      </w:r>
    </w:p>
    <w:p w:rsidR="00670380" w:rsidRDefault="00787AE5" w:rsidP="0082481F">
      <w:pPr>
        <w:numPr>
          <w:ilvl w:val="0"/>
          <w:numId w:val="1"/>
        </w:numPr>
        <w:tabs>
          <w:tab w:val="clear" w:pos="1080"/>
          <w:tab w:val="num" w:pos="1440"/>
        </w:tabs>
        <w:ind w:left="1440"/>
        <w:jc w:val="both"/>
        <w:rPr>
          <w:rFonts w:eastAsia="宋體"/>
          <w:lang w:eastAsia="zh-TW"/>
        </w:rPr>
      </w:pPr>
      <w:r>
        <w:rPr>
          <w:rFonts w:eastAsia="宋體"/>
          <w:lang w:eastAsia="zh-TW"/>
        </w:rPr>
        <w:t>s</w:t>
      </w:r>
      <w:r w:rsidR="009E69BF">
        <w:rPr>
          <w:rFonts w:eastAsia="宋體" w:hint="eastAsia"/>
          <w:lang w:eastAsia="zh-TW"/>
        </w:rPr>
        <w:t>ecured</w:t>
      </w:r>
      <w:r w:rsidR="009E69BF">
        <w:rPr>
          <w:rFonts w:eastAsia="宋體" w:hint="eastAsia"/>
          <w:lang w:eastAsia="zh-TW"/>
        </w:rPr>
        <w:tab/>
      </w:r>
      <w:r w:rsidR="009E69BF">
        <w:rPr>
          <w:rFonts w:eastAsia="宋體" w:hint="eastAsia"/>
          <w:lang w:eastAsia="zh-TW"/>
        </w:rPr>
        <w:tab/>
      </w:r>
      <w:r w:rsidR="009E69BF">
        <w:rPr>
          <w:rFonts w:eastAsia="宋體" w:hint="eastAsia"/>
          <w:lang w:eastAsia="zh-TW"/>
        </w:rPr>
        <w:tab/>
      </w:r>
      <w:r w:rsidR="009E69BF">
        <w:rPr>
          <w:rFonts w:eastAsia="宋體" w:hint="eastAsia"/>
          <w:lang w:eastAsia="zh-TW"/>
        </w:rPr>
        <w:tab/>
      </w:r>
      <w:r w:rsidR="009E69BF">
        <w:rPr>
          <w:rFonts w:eastAsia="宋體" w:hint="eastAsia"/>
          <w:lang w:eastAsia="zh-TW"/>
        </w:rPr>
        <w:tab/>
      </w:r>
      <w:r w:rsidR="009E69BF">
        <w:rPr>
          <w:rFonts w:eastAsia="宋體" w:hint="eastAsia"/>
          <w:lang w:eastAsia="zh-TW"/>
        </w:rPr>
        <w:tab/>
      </w:r>
      <w:r w:rsidR="009E69BF">
        <w:rPr>
          <w:rFonts w:eastAsia="宋體"/>
          <w:lang w:eastAsia="zh-TW"/>
        </w:rPr>
        <w:t xml:space="preserve">    </w:t>
      </w:r>
      <w:r w:rsidR="009E69BF">
        <w:rPr>
          <w:rFonts w:eastAsia="宋體"/>
          <w:lang w:eastAsia="zh-TW"/>
        </w:rPr>
        <w:tab/>
      </w:r>
      <w:r w:rsidR="009E69BF">
        <w:rPr>
          <w:rFonts w:eastAsia="宋體"/>
          <w:lang w:eastAsia="zh-TW"/>
        </w:rPr>
        <w:tab/>
      </w:r>
      <w:r w:rsidR="00C64D38">
        <w:rPr>
          <w:rFonts w:eastAsia="宋體"/>
          <w:lang w:eastAsia="zh-TW"/>
        </w:rPr>
        <w:t xml:space="preserve">   </w:t>
      </w:r>
      <w:r w:rsidR="00CA4A90">
        <w:rPr>
          <w:rFonts w:eastAsia="宋體"/>
          <w:lang w:eastAsia="zh-TW"/>
        </w:rPr>
        <w:t>8</w:t>
      </w:r>
      <w:r w:rsidR="00670380">
        <w:rPr>
          <w:rFonts w:eastAsia="宋體"/>
          <w:lang w:eastAsia="zh-TW"/>
        </w:rPr>
        <w:t>,</w:t>
      </w:r>
      <w:r w:rsidR="00CA4A90">
        <w:rPr>
          <w:rFonts w:eastAsia="宋體"/>
          <w:lang w:eastAsia="zh-TW"/>
        </w:rPr>
        <w:t>025</w:t>
      </w:r>
    </w:p>
    <w:p w:rsidR="009E69BF" w:rsidRDefault="009E69BF" w:rsidP="00670380">
      <w:pPr>
        <w:numPr>
          <w:ilvl w:val="0"/>
          <w:numId w:val="1"/>
        </w:numPr>
        <w:tabs>
          <w:tab w:val="clear" w:pos="1080"/>
          <w:tab w:val="num" w:pos="1440"/>
        </w:tabs>
        <w:ind w:left="1440"/>
        <w:jc w:val="both"/>
        <w:rPr>
          <w:rFonts w:eastAsia="宋體"/>
          <w:lang w:eastAsia="zh-TW"/>
        </w:rPr>
      </w:pPr>
      <w:r>
        <w:rPr>
          <w:rFonts w:eastAsia="宋體"/>
          <w:lang w:eastAsia="zh-TW"/>
        </w:rPr>
        <w:t>u</w:t>
      </w:r>
      <w:r>
        <w:rPr>
          <w:rFonts w:eastAsia="宋體" w:hint="eastAsia"/>
          <w:lang w:eastAsia="zh-TW"/>
        </w:rPr>
        <w:t>nsecured</w:t>
      </w:r>
      <w:r>
        <w:rPr>
          <w:rFonts w:eastAsia="宋體" w:hint="eastAsia"/>
          <w:lang w:eastAsia="zh-TW"/>
        </w:rPr>
        <w:tab/>
      </w:r>
      <w:r>
        <w:rPr>
          <w:rFonts w:eastAsia="宋體" w:hint="eastAsia"/>
          <w:lang w:eastAsia="zh-TW"/>
        </w:rPr>
        <w:tab/>
      </w:r>
      <w:r>
        <w:rPr>
          <w:rFonts w:eastAsia="宋體" w:hint="eastAsia"/>
          <w:lang w:eastAsia="zh-TW"/>
        </w:rPr>
        <w:tab/>
      </w:r>
      <w:r>
        <w:rPr>
          <w:rFonts w:eastAsia="宋體" w:hint="eastAsia"/>
          <w:lang w:eastAsia="zh-TW"/>
        </w:rPr>
        <w:tab/>
      </w:r>
      <w:r>
        <w:rPr>
          <w:rFonts w:eastAsia="宋體" w:hint="eastAsia"/>
          <w:lang w:eastAsia="zh-TW"/>
        </w:rPr>
        <w:tab/>
      </w:r>
      <w:r>
        <w:rPr>
          <w:rFonts w:eastAsia="宋體" w:hint="eastAsia"/>
          <w:lang w:eastAsia="zh-TW"/>
        </w:rPr>
        <w:tab/>
      </w:r>
      <w:r>
        <w:rPr>
          <w:rFonts w:eastAsia="宋體" w:hint="eastAsia"/>
          <w:lang w:eastAsia="zh-TW"/>
        </w:rPr>
        <w:tab/>
      </w:r>
      <w:r>
        <w:rPr>
          <w:rFonts w:eastAsia="宋體" w:hint="eastAsia"/>
          <w:lang w:eastAsia="zh-TW"/>
        </w:rPr>
        <w:tab/>
        <w:t xml:space="preserve">      </w:t>
      </w:r>
      <w:r>
        <w:rPr>
          <w:rFonts w:eastAsia="宋體"/>
          <w:lang w:eastAsia="zh-TW"/>
        </w:rPr>
        <w:t>-</w:t>
      </w:r>
      <w:r>
        <w:rPr>
          <w:rFonts w:eastAsia="宋體" w:hint="eastAsia"/>
          <w:lang w:eastAsia="zh-TW"/>
        </w:rPr>
        <w:t xml:space="preserve"> </w:t>
      </w:r>
      <w:r>
        <w:rPr>
          <w:rFonts w:eastAsia="宋體"/>
          <w:lang w:eastAsia="zh-TW"/>
        </w:rPr>
        <w:t xml:space="preserve">      </w:t>
      </w:r>
    </w:p>
    <w:p w:rsidR="009E69BF" w:rsidRDefault="009E69BF" w:rsidP="007A7539">
      <w:pPr>
        <w:ind w:left="540"/>
        <w:rPr>
          <w:rFonts w:eastAsia="宋體"/>
          <w:lang w:eastAsia="zh-TW"/>
        </w:rPr>
      </w:pPr>
      <w:r>
        <w:rPr>
          <w:rFonts w:eastAsia="宋體" w:hint="eastAsia"/>
          <w:lang w:eastAsia="zh-TW"/>
        </w:rPr>
        <w:t>Corporate guarantees for credit facilities granted to subsidiary</w:t>
      </w:r>
      <w:r>
        <w:rPr>
          <w:rFonts w:eastAsia="宋體"/>
          <w:lang w:eastAsia="zh-TW"/>
        </w:rPr>
        <w:t xml:space="preserve">                     </w:t>
      </w:r>
      <w:r w:rsidR="00CE67E1">
        <w:rPr>
          <w:rFonts w:eastAsia="宋體"/>
          <w:lang w:eastAsia="zh-TW"/>
        </w:rPr>
        <w:t xml:space="preserve"> </w:t>
      </w:r>
      <w:r>
        <w:rPr>
          <w:rFonts w:eastAsia="宋體"/>
          <w:lang w:eastAsia="zh-TW"/>
        </w:rPr>
        <w:t xml:space="preserve"> </w:t>
      </w:r>
      <w:r w:rsidR="00123DFA">
        <w:rPr>
          <w:rFonts w:eastAsia="宋體"/>
          <w:lang w:eastAsia="zh-TW"/>
        </w:rPr>
        <w:t>1</w:t>
      </w:r>
      <w:r w:rsidR="00584534">
        <w:rPr>
          <w:rFonts w:eastAsia="宋體"/>
          <w:lang w:eastAsia="zh-TW"/>
        </w:rPr>
        <w:t>46</w:t>
      </w:r>
      <w:r>
        <w:rPr>
          <w:rFonts w:eastAsia="宋體"/>
          <w:lang w:eastAsia="zh-TW"/>
        </w:rPr>
        <w:t>,</w:t>
      </w:r>
      <w:r w:rsidR="00584534">
        <w:rPr>
          <w:rFonts w:eastAsia="宋體"/>
          <w:lang w:eastAsia="zh-TW"/>
        </w:rPr>
        <w:t>378</w:t>
      </w:r>
      <w:r>
        <w:rPr>
          <w:rFonts w:eastAsia="宋體"/>
          <w:lang w:eastAsia="zh-TW"/>
        </w:rPr>
        <w:t xml:space="preserve">           </w:t>
      </w:r>
    </w:p>
    <w:p w:rsidR="009E69BF" w:rsidRDefault="009E69BF">
      <w:pPr>
        <w:ind w:left="720"/>
        <w:rPr>
          <w:rFonts w:eastAsia="宋體"/>
          <w:lang w:eastAsia="zh-TW"/>
        </w:rPr>
      </w:pPr>
      <w:proofErr w:type="gramStart"/>
      <w:r>
        <w:rPr>
          <w:rFonts w:eastAsia="宋體" w:hint="eastAsia"/>
          <w:lang w:eastAsia="zh-TW"/>
        </w:rPr>
        <w:t>companies</w:t>
      </w:r>
      <w:proofErr w:type="gramEnd"/>
      <w:r>
        <w:rPr>
          <w:rFonts w:eastAsia="宋體" w:hint="eastAsia"/>
          <w:lang w:eastAsia="zh-TW"/>
        </w:rPr>
        <w:t xml:space="preserve"> ( unsecured )</w:t>
      </w:r>
    </w:p>
    <w:p w:rsidR="00520BD6" w:rsidRDefault="00520BD6">
      <w:pPr>
        <w:ind w:left="720"/>
        <w:rPr>
          <w:rFonts w:eastAsia="宋體"/>
          <w:lang w:eastAsia="zh-TW"/>
        </w:rPr>
      </w:pPr>
    </w:p>
    <w:p w:rsidR="00770486" w:rsidRDefault="00770486">
      <w:pPr>
        <w:ind w:left="720"/>
        <w:rPr>
          <w:rFonts w:eastAsia="宋體"/>
          <w:lang w:eastAsia="zh-TW"/>
        </w:rPr>
      </w:pPr>
    </w:p>
    <w:p w:rsidR="00520BD6" w:rsidRDefault="00520BD6">
      <w:pPr>
        <w:ind w:left="720"/>
        <w:rPr>
          <w:rFonts w:eastAsia="宋體"/>
          <w:lang w:eastAsia="zh-TW"/>
        </w:rPr>
      </w:pPr>
    </w:p>
    <w:p w:rsidR="00520BD6" w:rsidRDefault="00520BD6" w:rsidP="00520BD6">
      <w:pPr>
        <w:rPr>
          <w:rFonts w:eastAsia="宋體"/>
          <w:lang w:eastAsia="zh-TW"/>
        </w:rPr>
      </w:pPr>
      <w:r>
        <w:rPr>
          <w:rFonts w:eastAsia="宋體"/>
          <w:lang w:eastAsia="zh-TW"/>
        </w:rPr>
        <w:lastRenderedPageBreak/>
        <w:t>- continue</w:t>
      </w:r>
      <w:r w:rsidR="005C5597">
        <w:rPr>
          <w:rFonts w:eastAsia="宋體"/>
          <w:lang w:eastAsia="zh-TW"/>
        </w:rPr>
        <w:t>d</w:t>
      </w:r>
    </w:p>
    <w:p w:rsidR="00C11E7A" w:rsidRDefault="00C11E7A">
      <w:pPr>
        <w:ind w:left="720"/>
        <w:rPr>
          <w:rFonts w:eastAsia="宋體"/>
          <w:lang w:eastAsia="zh-TW"/>
        </w:rPr>
      </w:pPr>
    </w:p>
    <w:p w:rsidR="00037AE8" w:rsidRDefault="00037AE8">
      <w:pPr>
        <w:ind w:left="720"/>
        <w:rPr>
          <w:rFonts w:eastAsia="宋體"/>
          <w:lang w:eastAsia="zh-TW"/>
        </w:rPr>
      </w:pPr>
    </w:p>
    <w:p w:rsidR="00F83628" w:rsidRDefault="0033518B" w:rsidP="003A7970">
      <w:pPr>
        <w:numPr>
          <w:ilvl w:val="0"/>
          <w:numId w:val="12"/>
        </w:numPr>
        <w:rPr>
          <w:rFonts w:eastAsia="宋體"/>
          <w:b/>
          <w:lang w:eastAsia="zh-TW"/>
        </w:rPr>
      </w:pPr>
      <w:r>
        <w:rPr>
          <w:rFonts w:eastAsia="宋體"/>
          <w:b/>
          <w:lang w:eastAsia="zh-TW"/>
        </w:rPr>
        <w:t>C</w:t>
      </w:r>
      <w:r w:rsidR="00F83628" w:rsidRPr="00F83628">
        <w:rPr>
          <w:rFonts w:eastAsia="宋體"/>
          <w:b/>
          <w:lang w:eastAsia="zh-TW"/>
        </w:rPr>
        <w:t>apital Commitments</w:t>
      </w:r>
    </w:p>
    <w:p w:rsidR="005E4CAC" w:rsidRDefault="005E4CAC" w:rsidP="005E4CAC">
      <w:pPr>
        <w:rPr>
          <w:rFonts w:eastAsia="宋體"/>
          <w:b/>
          <w:lang w:eastAsia="zh-TW"/>
        </w:rPr>
      </w:pPr>
    </w:p>
    <w:p w:rsidR="00397BB6" w:rsidRDefault="009C797F" w:rsidP="00397BB6">
      <w:pPr>
        <w:ind w:left="720"/>
        <w:rPr>
          <w:rFonts w:eastAsia="宋體"/>
          <w:lang w:eastAsia="zh-TW"/>
        </w:rPr>
      </w:pPr>
      <w:r>
        <w:rPr>
          <w:rFonts w:eastAsia="宋體"/>
          <w:lang w:eastAsia="zh-TW"/>
        </w:rPr>
        <w:t>The</w:t>
      </w:r>
      <w:r w:rsidR="00A24F95">
        <w:rPr>
          <w:rFonts w:eastAsia="宋體"/>
          <w:lang w:eastAsia="zh-TW"/>
        </w:rPr>
        <w:t xml:space="preserve"> outstanding capital commitment in the interim financial statements as at 30 September 2015 in respect of the purchase of factory building: -</w:t>
      </w:r>
    </w:p>
    <w:p w:rsidR="00A24F95" w:rsidRDefault="00A24F95" w:rsidP="00397BB6">
      <w:pPr>
        <w:ind w:left="720"/>
        <w:rPr>
          <w:rFonts w:eastAsia="宋體"/>
          <w:lang w:eastAsia="zh-TW"/>
        </w:rPr>
      </w:pPr>
      <w:r>
        <w:rPr>
          <w:rFonts w:eastAsia="宋體"/>
          <w:lang w:eastAsia="zh-TW"/>
        </w:rPr>
        <w:t xml:space="preserve">                                                                                                            RM’000</w:t>
      </w:r>
    </w:p>
    <w:p w:rsidR="00A24F95" w:rsidRDefault="00A24F95" w:rsidP="00397BB6">
      <w:pPr>
        <w:ind w:left="720"/>
        <w:rPr>
          <w:rFonts w:eastAsia="宋體"/>
          <w:lang w:eastAsia="zh-TW"/>
        </w:rPr>
      </w:pPr>
      <w:r>
        <w:rPr>
          <w:rFonts w:eastAsia="宋體"/>
          <w:lang w:eastAsia="zh-TW"/>
        </w:rPr>
        <w:t xml:space="preserve">Authorised and contracted for                                                           </w:t>
      </w:r>
      <w:r w:rsidR="003643F8">
        <w:rPr>
          <w:rFonts w:eastAsia="宋體"/>
          <w:lang w:eastAsia="zh-TW"/>
        </w:rPr>
        <w:t xml:space="preserve"> </w:t>
      </w:r>
      <w:r>
        <w:rPr>
          <w:rFonts w:eastAsia="宋體"/>
          <w:lang w:eastAsia="zh-TW"/>
        </w:rPr>
        <w:t xml:space="preserve">    5,040</w:t>
      </w:r>
    </w:p>
    <w:p w:rsidR="003643F8" w:rsidRDefault="003643F8" w:rsidP="00397BB6">
      <w:pPr>
        <w:ind w:left="720"/>
        <w:rPr>
          <w:rFonts w:eastAsia="宋體"/>
          <w:lang w:eastAsia="zh-TW"/>
        </w:rPr>
      </w:pPr>
    </w:p>
    <w:p w:rsidR="003643F8" w:rsidRDefault="003643F8" w:rsidP="00397BB6">
      <w:pPr>
        <w:ind w:left="720"/>
        <w:rPr>
          <w:rFonts w:eastAsia="宋體"/>
          <w:lang w:eastAsia="zh-TW"/>
        </w:rPr>
      </w:pPr>
    </w:p>
    <w:p w:rsidR="00703205" w:rsidRDefault="009C797F" w:rsidP="00397BB6">
      <w:pPr>
        <w:ind w:left="720"/>
        <w:rPr>
          <w:rFonts w:eastAsia="宋體"/>
          <w:lang w:eastAsia="zh-TW"/>
        </w:rPr>
      </w:pPr>
      <w:r>
        <w:rPr>
          <w:rFonts w:eastAsia="宋體"/>
          <w:lang w:eastAsia="zh-TW"/>
        </w:rPr>
        <w:t xml:space="preserve">                                                                                                                                                                                                           </w:t>
      </w:r>
    </w:p>
    <w:p w:rsidR="00F83628" w:rsidRDefault="00B45F62" w:rsidP="003A7970">
      <w:pPr>
        <w:numPr>
          <w:ilvl w:val="0"/>
          <w:numId w:val="12"/>
        </w:numPr>
        <w:rPr>
          <w:rFonts w:eastAsia="宋體"/>
          <w:b/>
          <w:lang w:eastAsia="zh-TW"/>
        </w:rPr>
      </w:pPr>
      <w:r>
        <w:rPr>
          <w:rFonts w:eastAsia="宋體"/>
          <w:b/>
          <w:lang w:eastAsia="zh-TW"/>
        </w:rPr>
        <w:t>S</w:t>
      </w:r>
      <w:r w:rsidR="0049742A">
        <w:rPr>
          <w:rFonts w:eastAsia="宋體"/>
          <w:b/>
          <w:lang w:eastAsia="zh-TW"/>
        </w:rPr>
        <w:t>i</w:t>
      </w:r>
      <w:r w:rsidR="00F83628" w:rsidRPr="00F83628">
        <w:rPr>
          <w:rFonts w:eastAsia="宋體"/>
          <w:b/>
          <w:lang w:eastAsia="zh-TW"/>
        </w:rPr>
        <w:t>gnificant Related Party Transactions</w:t>
      </w:r>
    </w:p>
    <w:p w:rsidR="00D53FA3" w:rsidRDefault="00D53FA3" w:rsidP="00F83628">
      <w:pPr>
        <w:rPr>
          <w:rFonts w:eastAsia="宋體"/>
          <w:b/>
          <w:lang w:eastAsia="zh-TW"/>
        </w:rPr>
      </w:pPr>
    </w:p>
    <w:p w:rsidR="00D617C2" w:rsidRDefault="00D617C2" w:rsidP="00F83628">
      <w:pPr>
        <w:rPr>
          <w:rFonts w:eastAsia="宋體"/>
          <w:b/>
          <w:lang w:eastAsia="zh-TW"/>
        </w:rPr>
      </w:pPr>
    </w:p>
    <w:tbl>
      <w:tblPr>
        <w:tblW w:w="93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070"/>
        <w:gridCol w:w="1890"/>
        <w:gridCol w:w="1260"/>
        <w:gridCol w:w="1350"/>
        <w:gridCol w:w="1440"/>
      </w:tblGrid>
      <w:tr w:rsidR="00F83628" w:rsidRPr="003A7970" w:rsidTr="00FE36FA">
        <w:tc>
          <w:tcPr>
            <w:tcW w:w="1350" w:type="dxa"/>
            <w:shd w:val="clear" w:color="auto" w:fill="auto"/>
          </w:tcPr>
          <w:p w:rsidR="00F83628" w:rsidRPr="003A7970" w:rsidRDefault="00F83628" w:rsidP="003A7970">
            <w:pPr>
              <w:jc w:val="center"/>
              <w:rPr>
                <w:rFonts w:eastAsia="宋體"/>
                <w:sz w:val="20"/>
                <w:lang w:eastAsia="zh-TW"/>
              </w:rPr>
            </w:pPr>
            <w:r w:rsidRPr="003A7970">
              <w:rPr>
                <w:rFonts w:eastAsia="宋體"/>
                <w:sz w:val="20"/>
                <w:lang w:eastAsia="zh-TW"/>
              </w:rPr>
              <w:t>Subsidiaries</w:t>
            </w:r>
          </w:p>
        </w:tc>
        <w:tc>
          <w:tcPr>
            <w:tcW w:w="2070" w:type="dxa"/>
            <w:shd w:val="clear" w:color="auto" w:fill="auto"/>
          </w:tcPr>
          <w:p w:rsidR="00F83628" w:rsidRPr="003A7970" w:rsidRDefault="00F83628" w:rsidP="003A7970">
            <w:pPr>
              <w:jc w:val="center"/>
              <w:rPr>
                <w:rFonts w:eastAsia="宋體"/>
                <w:sz w:val="20"/>
                <w:lang w:eastAsia="zh-TW"/>
              </w:rPr>
            </w:pPr>
            <w:r w:rsidRPr="003A7970">
              <w:rPr>
                <w:rFonts w:eastAsia="宋體"/>
                <w:sz w:val="20"/>
                <w:lang w:eastAsia="zh-TW"/>
              </w:rPr>
              <w:t>Transacting Parties</w:t>
            </w:r>
          </w:p>
        </w:tc>
        <w:tc>
          <w:tcPr>
            <w:tcW w:w="1890" w:type="dxa"/>
            <w:shd w:val="clear" w:color="auto" w:fill="auto"/>
          </w:tcPr>
          <w:p w:rsidR="00F83628" w:rsidRPr="003A7970" w:rsidRDefault="00F83628" w:rsidP="003A7970">
            <w:pPr>
              <w:jc w:val="center"/>
              <w:rPr>
                <w:rFonts w:eastAsia="宋體"/>
                <w:sz w:val="20"/>
                <w:lang w:eastAsia="zh-TW"/>
              </w:rPr>
            </w:pPr>
            <w:r w:rsidRPr="003A7970">
              <w:rPr>
                <w:rFonts w:eastAsia="宋體"/>
                <w:sz w:val="20"/>
                <w:lang w:eastAsia="zh-TW"/>
              </w:rPr>
              <w:t>Relationship</w:t>
            </w:r>
          </w:p>
        </w:tc>
        <w:tc>
          <w:tcPr>
            <w:tcW w:w="1260" w:type="dxa"/>
            <w:shd w:val="clear" w:color="auto" w:fill="auto"/>
          </w:tcPr>
          <w:p w:rsidR="00F83628" w:rsidRPr="003A7970" w:rsidRDefault="00F83628" w:rsidP="003A7970">
            <w:pPr>
              <w:jc w:val="center"/>
              <w:rPr>
                <w:rFonts w:eastAsia="宋體"/>
                <w:sz w:val="20"/>
                <w:lang w:eastAsia="zh-TW"/>
              </w:rPr>
            </w:pPr>
            <w:r w:rsidRPr="003A7970">
              <w:rPr>
                <w:rFonts w:eastAsia="宋體"/>
                <w:sz w:val="20"/>
                <w:lang w:eastAsia="zh-TW"/>
              </w:rPr>
              <w:t>Nature of Transactions</w:t>
            </w:r>
          </w:p>
        </w:tc>
        <w:tc>
          <w:tcPr>
            <w:tcW w:w="1350" w:type="dxa"/>
            <w:shd w:val="clear" w:color="auto" w:fill="auto"/>
          </w:tcPr>
          <w:p w:rsidR="00F83628" w:rsidRPr="003A7970" w:rsidRDefault="00F83628" w:rsidP="0096327E">
            <w:pPr>
              <w:jc w:val="center"/>
              <w:rPr>
                <w:rFonts w:eastAsia="宋體"/>
                <w:sz w:val="20"/>
                <w:lang w:eastAsia="zh-TW"/>
              </w:rPr>
            </w:pPr>
            <w:r w:rsidRPr="003A7970">
              <w:rPr>
                <w:rFonts w:eastAsia="宋體"/>
                <w:sz w:val="20"/>
                <w:lang w:eastAsia="zh-TW"/>
              </w:rPr>
              <w:t>Current quarter ended 3</w:t>
            </w:r>
            <w:r w:rsidR="00CF53BD">
              <w:rPr>
                <w:rFonts w:eastAsia="宋體"/>
                <w:sz w:val="20"/>
                <w:lang w:eastAsia="zh-TW"/>
              </w:rPr>
              <w:t>0</w:t>
            </w:r>
            <w:r w:rsidR="00BD4013" w:rsidRPr="003A7970">
              <w:rPr>
                <w:rFonts w:eastAsia="宋體"/>
                <w:sz w:val="20"/>
                <w:lang w:eastAsia="zh-TW"/>
              </w:rPr>
              <w:t>.</w:t>
            </w:r>
            <w:r w:rsidR="00AD14C9">
              <w:rPr>
                <w:rFonts w:eastAsia="宋體"/>
                <w:sz w:val="20"/>
                <w:lang w:eastAsia="zh-TW"/>
              </w:rPr>
              <w:t>0</w:t>
            </w:r>
            <w:r w:rsidR="0096327E">
              <w:rPr>
                <w:rFonts w:eastAsia="宋體"/>
                <w:sz w:val="20"/>
                <w:lang w:eastAsia="zh-TW"/>
              </w:rPr>
              <w:t>9</w:t>
            </w:r>
            <w:r w:rsidR="00BD4013" w:rsidRPr="003A7970">
              <w:rPr>
                <w:rFonts w:eastAsia="宋體"/>
                <w:sz w:val="20"/>
                <w:lang w:eastAsia="zh-TW"/>
              </w:rPr>
              <w:t>.</w:t>
            </w:r>
            <w:r w:rsidR="008C2492" w:rsidRPr="003A7970">
              <w:rPr>
                <w:rFonts w:eastAsia="宋體"/>
                <w:sz w:val="20"/>
                <w:lang w:eastAsia="zh-TW"/>
              </w:rPr>
              <w:t>1</w:t>
            </w:r>
            <w:r w:rsidR="00AD14C9">
              <w:rPr>
                <w:rFonts w:eastAsia="宋體"/>
                <w:sz w:val="20"/>
                <w:lang w:eastAsia="zh-TW"/>
              </w:rPr>
              <w:t>5</w:t>
            </w:r>
          </w:p>
        </w:tc>
        <w:tc>
          <w:tcPr>
            <w:tcW w:w="1440" w:type="dxa"/>
            <w:shd w:val="clear" w:color="auto" w:fill="auto"/>
          </w:tcPr>
          <w:p w:rsidR="00F83628" w:rsidRPr="003A7970" w:rsidRDefault="00F83628" w:rsidP="0096327E">
            <w:pPr>
              <w:jc w:val="center"/>
              <w:rPr>
                <w:rFonts w:eastAsia="宋體"/>
                <w:sz w:val="20"/>
                <w:lang w:eastAsia="zh-TW"/>
              </w:rPr>
            </w:pPr>
            <w:r w:rsidRPr="003A7970">
              <w:rPr>
                <w:rFonts w:eastAsia="宋體"/>
                <w:sz w:val="20"/>
                <w:lang w:eastAsia="zh-TW"/>
              </w:rPr>
              <w:t xml:space="preserve">Cumulative Quarter ended </w:t>
            </w:r>
            <w:r w:rsidR="00BD4013" w:rsidRPr="003A7970">
              <w:rPr>
                <w:rFonts w:eastAsia="宋體"/>
                <w:sz w:val="20"/>
                <w:lang w:eastAsia="zh-TW"/>
              </w:rPr>
              <w:t>3</w:t>
            </w:r>
            <w:r w:rsidR="00CF53BD">
              <w:rPr>
                <w:rFonts w:eastAsia="宋體"/>
                <w:sz w:val="20"/>
                <w:lang w:eastAsia="zh-TW"/>
              </w:rPr>
              <w:t>0</w:t>
            </w:r>
            <w:r w:rsidR="00865AA9" w:rsidRPr="003A7970">
              <w:rPr>
                <w:rFonts w:eastAsia="宋體"/>
                <w:sz w:val="20"/>
                <w:lang w:eastAsia="zh-TW"/>
              </w:rPr>
              <w:t>.</w:t>
            </w:r>
            <w:r w:rsidR="00AD14C9">
              <w:rPr>
                <w:rFonts w:eastAsia="宋體"/>
                <w:sz w:val="20"/>
                <w:lang w:eastAsia="zh-TW"/>
              </w:rPr>
              <w:t>0</w:t>
            </w:r>
            <w:r w:rsidR="0096327E">
              <w:rPr>
                <w:rFonts w:eastAsia="宋體"/>
                <w:sz w:val="20"/>
                <w:lang w:eastAsia="zh-TW"/>
              </w:rPr>
              <w:t>9</w:t>
            </w:r>
            <w:r w:rsidR="00E41861" w:rsidRPr="003A7970">
              <w:rPr>
                <w:rFonts w:eastAsia="宋體"/>
                <w:sz w:val="20"/>
                <w:lang w:eastAsia="zh-TW"/>
              </w:rPr>
              <w:t>.1</w:t>
            </w:r>
            <w:r w:rsidR="00AD14C9">
              <w:rPr>
                <w:rFonts w:eastAsia="宋體"/>
                <w:sz w:val="20"/>
                <w:lang w:eastAsia="zh-TW"/>
              </w:rPr>
              <w:t>5</w:t>
            </w:r>
          </w:p>
        </w:tc>
      </w:tr>
      <w:tr w:rsidR="00F83628" w:rsidRPr="003A7970" w:rsidTr="00FE36FA">
        <w:tc>
          <w:tcPr>
            <w:tcW w:w="1350" w:type="dxa"/>
            <w:shd w:val="clear" w:color="auto" w:fill="auto"/>
          </w:tcPr>
          <w:p w:rsidR="00F83628" w:rsidRPr="003A7970" w:rsidRDefault="00F83628" w:rsidP="00F83628">
            <w:pPr>
              <w:rPr>
                <w:rFonts w:eastAsia="宋體"/>
                <w:sz w:val="20"/>
                <w:lang w:eastAsia="zh-TW"/>
              </w:rPr>
            </w:pPr>
            <w:proofErr w:type="spellStart"/>
            <w:r w:rsidRPr="003A7970">
              <w:rPr>
                <w:rFonts w:eastAsia="宋體"/>
                <w:sz w:val="20"/>
                <w:lang w:eastAsia="zh-TW"/>
              </w:rPr>
              <w:t>Lii</w:t>
            </w:r>
            <w:proofErr w:type="spellEnd"/>
            <w:r w:rsidRPr="003A7970">
              <w:rPr>
                <w:rFonts w:eastAsia="宋體"/>
                <w:sz w:val="20"/>
                <w:lang w:eastAsia="zh-TW"/>
              </w:rPr>
              <w:t xml:space="preserve"> Hen Furniture </w:t>
            </w:r>
            <w:proofErr w:type="spellStart"/>
            <w:r w:rsidRPr="003A7970">
              <w:rPr>
                <w:rFonts w:eastAsia="宋體"/>
                <w:sz w:val="20"/>
                <w:lang w:eastAsia="zh-TW"/>
              </w:rPr>
              <w:t>Sdn</w:t>
            </w:r>
            <w:proofErr w:type="spellEnd"/>
            <w:r w:rsidRPr="003A7970">
              <w:rPr>
                <w:rFonts w:eastAsia="宋體"/>
                <w:sz w:val="20"/>
                <w:lang w:eastAsia="zh-TW"/>
              </w:rPr>
              <w:t xml:space="preserve"> Bhd</w:t>
            </w:r>
          </w:p>
        </w:tc>
        <w:tc>
          <w:tcPr>
            <w:tcW w:w="2070" w:type="dxa"/>
            <w:shd w:val="clear" w:color="auto" w:fill="auto"/>
          </w:tcPr>
          <w:p w:rsidR="00F83628" w:rsidRPr="003A7970" w:rsidRDefault="00F83628" w:rsidP="00F83628">
            <w:pPr>
              <w:rPr>
                <w:rFonts w:eastAsia="宋體"/>
                <w:sz w:val="20"/>
                <w:lang w:eastAsia="zh-TW"/>
              </w:rPr>
            </w:pPr>
            <w:r w:rsidRPr="003A7970">
              <w:rPr>
                <w:rFonts w:eastAsia="宋體"/>
                <w:sz w:val="20"/>
                <w:lang w:eastAsia="zh-TW"/>
              </w:rPr>
              <w:t xml:space="preserve">Chua Lee Seng </w:t>
            </w:r>
            <w:r w:rsidR="00A92F06" w:rsidRPr="003A7970">
              <w:rPr>
                <w:rFonts w:eastAsia="宋體"/>
                <w:sz w:val="12"/>
                <w:szCs w:val="12"/>
                <w:lang w:eastAsia="zh-TW"/>
              </w:rPr>
              <w:t>(</w:t>
            </w:r>
            <w:r w:rsidRPr="003A7970">
              <w:rPr>
                <w:rFonts w:eastAsia="宋體"/>
                <w:sz w:val="12"/>
                <w:szCs w:val="12"/>
                <w:lang w:eastAsia="zh-TW"/>
              </w:rPr>
              <w:t>1 &amp; 2</w:t>
            </w:r>
            <w:r w:rsidR="00A92F06" w:rsidRPr="003A7970">
              <w:rPr>
                <w:rFonts w:eastAsia="宋體"/>
                <w:sz w:val="12"/>
                <w:szCs w:val="12"/>
                <w:lang w:eastAsia="zh-TW"/>
              </w:rPr>
              <w:t>)</w:t>
            </w:r>
          </w:p>
          <w:p w:rsidR="00A92F06" w:rsidRPr="003A7970" w:rsidRDefault="00A92F06" w:rsidP="00F83628">
            <w:pPr>
              <w:rPr>
                <w:rFonts w:eastAsia="宋體"/>
                <w:sz w:val="20"/>
                <w:lang w:eastAsia="zh-TW"/>
              </w:rPr>
            </w:pPr>
            <w:r w:rsidRPr="003A7970">
              <w:rPr>
                <w:rFonts w:eastAsia="宋體"/>
                <w:sz w:val="20"/>
                <w:lang w:eastAsia="zh-TW"/>
              </w:rPr>
              <w:t xml:space="preserve">Tok Heng Leong </w:t>
            </w:r>
            <w:r w:rsidRPr="003A7970">
              <w:rPr>
                <w:rFonts w:eastAsia="宋體"/>
                <w:sz w:val="12"/>
                <w:szCs w:val="12"/>
                <w:lang w:eastAsia="zh-TW"/>
              </w:rPr>
              <w:t>(1 &amp; 2)</w:t>
            </w:r>
          </w:p>
          <w:p w:rsidR="00A92F06" w:rsidRPr="003A7970" w:rsidRDefault="00A92F06" w:rsidP="00F83628">
            <w:pPr>
              <w:rPr>
                <w:rFonts w:eastAsia="宋體"/>
                <w:sz w:val="12"/>
                <w:szCs w:val="12"/>
                <w:lang w:eastAsia="zh-TW"/>
              </w:rPr>
            </w:pPr>
            <w:r w:rsidRPr="003A7970">
              <w:rPr>
                <w:rFonts w:eastAsia="宋體"/>
                <w:sz w:val="20"/>
                <w:lang w:eastAsia="zh-TW"/>
              </w:rPr>
              <w:t xml:space="preserve">Soo Tee Heng (f) </w:t>
            </w:r>
            <w:r w:rsidRPr="003A7970">
              <w:rPr>
                <w:rFonts w:eastAsia="宋體"/>
                <w:sz w:val="12"/>
                <w:szCs w:val="12"/>
                <w:lang w:eastAsia="zh-TW"/>
              </w:rPr>
              <w:t>(2)</w:t>
            </w:r>
          </w:p>
          <w:p w:rsidR="00A92F06" w:rsidRPr="003A7970" w:rsidRDefault="00A92F06" w:rsidP="00F83628">
            <w:pPr>
              <w:rPr>
                <w:rFonts w:eastAsia="宋體"/>
                <w:sz w:val="20"/>
                <w:lang w:eastAsia="zh-TW"/>
              </w:rPr>
            </w:pPr>
            <w:r w:rsidRPr="003A7970">
              <w:rPr>
                <w:rFonts w:eastAsia="宋體"/>
                <w:sz w:val="20"/>
                <w:lang w:eastAsia="zh-TW"/>
              </w:rPr>
              <w:t>Tok Heng Hwa (f)</w:t>
            </w:r>
          </w:p>
        </w:tc>
        <w:tc>
          <w:tcPr>
            <w:tcW w:w="1890" w:type="dxa"/>
            <w:shd w:val="clear" w:color="auto" w:fill="auto"/>
          </w:tcPr>
          <w:p w:rsidR="00485888" w:rsidRPr="003A7970" w:rsidRDefault="00A92F06" w:rsidP="00F83628">
            <w:pPr>
              <w:rPr>
                <w:rFonts w:eastAsia="宋體"/>
                <w:sz w:val="20"/>
                <w:lang w:eastAsia="zh-TW"/>
              </w:rPr>
            </w:pPr>
            <w:r w:rsidRPr="003A7970">
              <w:rPr>
                <w:rFonts w:eastAsia="宋體"/>
                <w:sz w:val="20"/>
                <w:lang w:eastAsia="zh-TW"/>
              </w:rPr>
              <w:t>Directors(</w:t>
            </w:r>
            <w:r w:rsidRPr="003A7970">
              <w:rPr>
                <w:rFonts w:eastAsia="宋體"/>
                <w:sz w:val="12"/>
                <w:szCs w:val="12"/>
                <w:lang w:eastAsia="zh-TW"/>
              </w:rPr>
              <w:t xml:space="preserve"> 1)</w:t>
            </w:r>
            <w:r w:rsidRPr="003A7970">
              <w:rPr>
                <w:rFonts w:eastAsia="宋體"/>
                <w:sz w:val="20"/>
                <w:lang w:eastAsia="zh-TW"/>
              </w:rPr>
              <w:t xml:space="preserve"> and /or substantial shareholder </w:t>
            </w:r>
            <w:r w:rsidRPr="003A7970">
              <w:rPr>
                <w:rFonts w:eastAsia="宋體"/>
                <w:sz w:val="12"/>
                <w:szCs w:val="12"/>
                <w:lang w:eastAsia="zh-TW"/>
              </w:rPr>
              <w:t>(2)</w:t>
            </w:r>
            <w:r w:rsidRPr="003A7970">
              <w:rPr>
                <w:rFonts w:eastAsia="宋體"/>
                <w:sz w:val="20"/>
                <w:lang w:eastAsia="zh-TW"/>
              </w:rPr>
              <w:t xml:space="preserve"> of LIIHEN</w:t>
            </w:r>
          </w:p>
        </w:tc>
        <w:tc>
          <w:tcPr>
            <w:tcW w:w="1260" w:type="dxa"/>
            <w:shd w:val="clear" w:color="auto" w:fill="auto"/>
          </w:tcPr>
          <w:p w:rsidR="00F83628" w:rsidRPr="003A7970" w:rsidRDefault="00A92F06" w:rsidP="0035575A">
            <w:pPr>
              <w:rPr>
                <w:rFonts w:eastAsia="宋體"/>
                <w:sz w:val="20"/>
                <w:lang w:eastAsia="zh-TW"/>
              </w:rPr>
            </w:pPr>
            <w:r w:rsidRPr="003A7970">
              <w:rPr>
                <w:rFonts w:eastAsia="宋體"/>
                <w:sz w:val="20"/>
                <w:lang w:eastAsia="zh-TW"/>
              </w:rPr>
              <w:t>Rent</w:t>
            </w:r>
            <w:r w:rsidR="0035575A" w:rsidRPr="003A7970">
              <w:rPr>
                <w:rFonts w:eastAsia="宋體"/>
                <w:sz w:val="20"/>
                <w:lang w:eastAsia="zh-TW"/>
              </w:rPr>
              <w:t>ing</w:t>
            </w:r>
            <w:r w:rsidRPr="003A7970">
              <w:rPr>
                <w:rFonts w:eastAsia="宋體"/>
                <w:sz w:val="20"/>
                <w:lang w:eastAsia="zh-TW"/>
              </w:rPr>
              <w:t xml:space="preserve"> of hostel</w:t>
            </w:r>
          </w:p>
          <w:p w:rsidR="00A92F06" w:rsidRPr="003A7970" w:rsidRDefault="00A92F06" w:rsidP="003A7970">
            <w:pPr>
              <w:ind w:right="72"/>
              <w:rPr>
                <w:rFonts w:eastAsia="宋體"/>
                <w:sz w:val="20"/>
                <w:lang w:eastAsia="zh-TW"/>
              </w:rPr>
            </w:pPr>
          </w:p>
        </w:tc>
        <w:tc>
          <w:tcPr>
            <w:tcW w:w="1350" w:type="dxa"/>
            <w:shd w:val="clear" w:color="auto" w:fill="auto"/>
          </w:tcPr>
          <w:p w:rsidR="00F83628" w:rsidRPr="003A7970" w:rsidRDefault="00A92F06" w:rsidP="002A0C33">
            <w:pPr>
              <w:rPr>
                <w:rFonts w:eastAsia="宋體"/>
                <w:sz w:val="20"/>
                <w:lang w:eastAsia="zh-TW"/>
              </w:rPr>
            </w:pPr>
            <w:r w:rsidRPr="003A7970">
              <w:rPr>
                <w:rFonts w:eastAsia="宋體"/>
                <w:sz w:val="20"/>
                <w:lang w:eastAsia="zh-TW"/>
              </w:rPr>
              <w:t>RM</w:t>
            </w:r>
            <w:r w:rsidR="00584534">
              <w:rPr>
                <w:rFonts w:eastAsia="宋體"/>
                <w:sz w:val="20"/>
                <w:lang w:eastAsia="zh-TW"/>
              </w:rPr>
              <w:t xml:space="preserve"> </w:t>
            </w:r>
            <w:r w:rsidR="002A0C33">
              <w:rPr>
                <w:rFonts w:eastAsia="宋體"/>
                <w:sz w:val="20"/>
                <w:lang w:eastAsia="zh-TW"/>
              </w:rPr>
              <w:t>Nil</w:t>
            </w:r>
          </w:p>
        </w:tc>
        <w:tc>
          <w:tcPr>
            <w:tcW w:w="1440" w:type="dxa"/>
            <w:shd w:val="clear" w:color="auto" w:fill="auto"/>
          </w:tcPr>
          <w:p w:rsidR="00F83628" w:rsidRPr="003A7970" w:rsidRDefault="00153FA6" w:rsidP="00AD14C9">
            <w:pPr>
              <w:rPr>
                <w:rFonts w:eastAsia="宋體"/>
                <w:sz w:val="20"/>
                <w:lang w:eastAsia="zh-TW"/>
              </w:rPr>
            </w:pPr>
            <w:r w:rsidRPr="003A7970">
              <w:rPr>
                <w:rFonts w:eastAsia="宋體"/>
                <w:sz w:val="20"/>
                <w:lang w:eastAsia="zh-TW"/>
              </w:rPr>
              <w:t xml:space="preserve">   </w:t>
            </w:r>
            <w:r w:rsidR="00A92F06" w:rsidRPr="003A7970">
              <w:rPr>
                <w:rFonts w:eastAsia="宋體"/>
                <w:sz w:val="20"/>
                <w:lang w:eastAsia="zh-TW"/>
              </w:rPr>
              <w:t>RM</w:t>
            </w:r>
            <w:r w:rsidR="00AD14C9">
              <w:rPr>
                <w:rFonts w:eastAsia="宋體"/>
                <w:sz w:val="20"/>
                <w:lang w:eastAsia="zh-TW"/>
              </w:rPr>
              <w:t>3</w:t>
            </w:r>
            <w:r w:rsidR="00BD4013" w:rsidRPr="003A7970">
              <w:rPr>
                <w:rFonts w:eastAsia="宋體"/>
                <w:sz w:val="20"/>
                <w:lang w:eastAsia="zh-TW"/>
              </w:rPr>
              <w:t>,</w:t>
            </w:r>
            <w:r w:rsidR="00F5120F" w:rsidRPr="003A7970">
              <w:rPr>
                <w:rFonts w:eastAsia="宋體"/>
                <w:sz w:val="20"/>
                <w:lang w:eastAsia="zh-TW"/>
              </w:rPr>
              <w:t>000</w:t>
            </w:r>
          </w:p>
        </w:tc>
      </w:tr>
      <w:tr w:rsidR="00D21B07" w:rsidRPr="003A7970" w:rsidTr="00FE36FA">
        <w:tc>
          <w:tcPr>
            <w:tcW w:w="1350" w:type="dxa"/>
            <w:shd w:val="clear" w:color="auto" w:fill="auto"/>
          </w:tcPr>
          <w:p w:rsidR="00D21B07" w:rsidRPr="003A7970" w:rsidRDefault="00D21B07" w:rsidP="00F83628">
            <w:pPr>
              <w:rPr>
                <w:rFonts w:eastAsia="宋體"/>
                <w:sz w:val="20"/>
                <w:lang w:eastAsia="zh-TW"/>
              </w:rPr>
            </w:pPr>
            <w:proofErr w:type="spellStart"/>
            <w:r w:rsidRPr="003A7970">
              <w:rPr>
                <w:rFonts w:eastAsia="宋體"/>
                <w:sz w:val="20"/>
                <w:lang w:eastAsia="zh-TW"/>
              </w:rPr>
              <w:t>Lii</w:t>
            </w:r>
            <w:proofErr w:type="spellEnd"/>
            <w:r w:rsidRPr="003A7970">
              <w:rPr>
                <w:rFonts w:eastAsia="宋體"/>
                <w:sz w:val="20"/>
                <w:lang w:eastAsia="zh-TW"/>
              </w:rPr>
              <w:t xml:space="preserve"> Hen Furniture </w:t>
            </w:r>
            <w:proofErr w:type="spellStart"/>
            <w:r w:rsidRPr="003A7970">
              <w:rPr>
                <w:rFonts w:eastAsia="宋體"/>
                <w:sz w:val="20"/>
                <w:lang w:eastAsia="zh-TW"/>
              </w:rPr>
              <w:t>Sdn</w:t>
            </w:r>
            <w:proofErr w:type="spellEnd"/>
            <w:r w:rsidRPr="003A7970">
              <w:rPr>
                <w:rFonts w:eastAsia="宋體"/>
                <w:sz w:val="20"/>
                <w:lang w:eastAsia="zh-TW"/>
              </w:rPr>
              <w:t xml:space="preserve"> Bhd</w:t>
            </w:r>
          </w:p>
        </w:tc>
        <w:tc>
          <w:tcPr>
            <w:tcW w:w="2070" w:type="dxa"/>
            <w:shd w:val="clear" w:color="auto" w:fill="auto"/>
          </w:tcPr>
          <w:p w:rsidR="00D21B07" w:rsidRPr="003A7970" w:rsidRDefault="00D21B07" w:rsidP="00F83628">
            <w:pPr>
              <w:rPr>
                <w:rFonts w:eastAsia="宋體"/>
                <w:sz w:val="20"/>
                <w:lang w:eastAsia="zh-TW"/>
              </w:rPr>
            </w:pPr>
            <w:r w:rsidRPr="003A7970">
              <w:rPr>
                <w:rFonts w:eastAsia="宋體"/>
                <w:sz w:val="20"/>
                <w:lang w:eastAsia="zh-TW"/>
              </w:rPr>
              <w:t>Domain Partners Sdn Bhd</w:t>
            </w:r>
          </w:p>
        </w:tc>
        <w:tc>
          <w:tcPr>
            <w:tcW w:w="1890" w:type="dxa"/>
            <w:shd w:val="clear" w:color="auto" w:fill="auto"/>
          </w:tcPr>
          <w:p w:rsidR="00D21B07" w:rsidRPr="003A7970" w:rsidRDefault="00D21B07" w:rsidP="00F83628">
            <w:pPr>
              <w:rPr>
                <w:rFonts w:eastAsia="宋體"/>
                <w:sz w:val="20"/>
                <w:lang w:eastAsia="zh-TW"/>
              </w:rPr>
            </w:pPr>
            <w:r w:rsidRPr="003A7970">
              <w:rPr>
                <w:rFonts w:eastAsia="宋體"/>
                <w:sz w:val="20"/>
                <w:lang w:eastAsia="zh-TW"/>
              </w:rPr>
              <w:t xml:space="preserve">A company in which Chua Lee Seng, </w:t>
            </w:r>
            <w:proofErr w:type="spellStart"/>
            <w:r w:rsidRPr="003A7970">
              <w:rPr>
                <w:rFonts w:eastAsia="宋體"/>
                <w:sz w:val="20"/>
                <w:lang w:eastAsia="zh-TW"/>
              </w:rPr>
              <w:t>Tok</w:t>
            </w:r>
            <w:proofErr w:type="spellEnd"/>
            <w:r w:rsidRPr="003A7970">
              <w:rPr>
                <w:rFonts w:eastAsia="宋體"/>
                <w:sz w:val="20"/>
                <w:lang w:eastAsia="zh-TW"/>
              </w:rPr>
              <w:t xml:space="preserve"> </w:t>
            </w:r>
            <w:proofErr w:type="spellStart"/>
            <w:r w:rsidRPr="003A7970">
              <w:rPr>
                <w:rFonts w:eastAsia="宋體"/>
                <w:sz w:val="20"/>
                <w:lang w:eastAsia="zh-TW"/>
              </w:rPr>
              <w:t>Heng</w:t>
            </w:r>
            <w:proofErr w:type="spellEnd"/>
            <w:r w:rsidRPr="003A7970">
              <w:rPr>
                <w:rFonts w:eastAsia="宋體"/>
                <w:sz w:val="20"/>
                <w:lang w:eastAsia="zh-TW"/>
              </w:rPr>
              <w:t xml:space="preserve"> Leong, Tan Bee Eng and Chua Yong </w:t>
            </w:r>
            <w:proofErr w:type="spellStart"/>
            <w:r w:rsidRPr="003A7970">
              <w:rPr>
                <w:rFonts w:eastAsia="宋體"/>
                <w:sz w:val="20"/>
                <w:lang w:eastAsia="zh-TW"/>
              </w:rPr>
              <w:t>H</w:t>
            </w:r>
            <w:r w:rsidR="009A292F" w:rsidRPr="003A7970">
              <w:rPr>
                <w:rFonts w:eastAsia="宋體"/>
                <w:sz w:val="20"/>
                <w:lang w:eastAsia="zh-TW"/>
              </w:rPr>
              <w:t>aup</w:t>
            </w:r>
            <w:proofErr w:type="spellEnd"/>
            <w:r w:rsidRPr="003A7970">
              <w:rPr>
                <w:rFonts w:eastAsia="宋體"/>
                <w:sz w:val="20"/>
                <w:lang w:eastAsia="zh-TW"/>
              </w:rPr>
              <w:t xml:space="preserve"> have interest</w:t>
            </w:r>
          </w:p>
        </w:tc>
        <w:tc>
          <w:tcPr>
            <w:tcW w:w="1260" w:type="dxa"/>
            <w:shd w:val="clear" w:color="auto" w:fill="auto"/>
          </w:tcPr>
          <w:p w:rsidR="00D21B07" w:rsidRPr="003A7970" w:rsidRDefault="00D21B07" w:rsidP="00F83628">
            <w:pPr>
              <w:rPr>
                <w:rFonts w:eastAsia="宋體"/>
                <w:sz w:val="20"/>
                <w:lang w:eastAsia="zh-TW"/>
              </w:rPr>
            </w:pPr>
            <w:r w:rsidRPr="003A7970">
              <w:rPr>
                <w:rFonts w:eastAsia="宋體"/>
                <w:sz w:val="20"/>
                <w:lang w:eastAsia="zh-TW"/>
              </w:rPr>
              <w:t>Renting of buildings</w:t>
            </w:r>
          </w:p>
        </w:tc>
        <w:tc>
          <w:tcPr>
            <w:tcW w:w="1350" w:type="dxa"/>
            <w:shd w:val="clear" w:color="auto" w:fill="auto"/>
          </w:tcPr>
          <w:p w:rsidR="00D21B07" w:rsidRPr="003A7970" w:rsidRDefault="00D21B07" w:rsidP="00F83628">
            <w:pPr>
              <w:rPr>
                <w:rFonts w:eastAsia="宋體"/>
                <w:sz w:val="20"/>
                <w:lang w:eastAsia="zh-TW"/>
              </w:rPr>
            </w:pPr>
            <w:r w:rsidRPr="003A7970">
              <w:rPr>
                <w:rFonts w:eastAsia="宋體"/>
                <w:sz w:val="20"/>
                <w:lang w:eastAsia="zh-TW"/>
              </w:rPr>
              <w:t>RM</w:t>
            </w:r>
            <w:r w:rsidR="00F5120F" w:rsidRPr="003A7970">
              <w:rPr>
                <w:rFonts w:eastAsia="宋體"/>
                <w:sz w:val="20"/>
                <w:lang w:eastAsia="zh-TW"/>
              </w:rPr>
              <w:t>234</w:t>
            </w:r>
            <w:r w:rsidRPr="003A7970">
              <w:rPr>
                <w:rFonts w:eastAsia="宋體"/>
                <w:sz w:val="20"/>
                <w:lang w:eastAsia="zh-TW"/>
              </w:rPr>
              <w:t>,</w:t>
            </w:r>
            <w:r w:rsidR="00E41861" w:rsidRPr="003A7970">
              <w:rPr>
                <w:rFonts w:eastAsia="宋體"/>
                <w:sz w:val="20"/>
                <w:lang w:eastAsia="zh-TW"/>
              </w:rPr>
              <w:t>964</w:t>
            </w:r>
          </w:p>
        </w:tc>
        <w:tc>
          <w:tcPr>
            <w:tcW w:w="1440" w:type="dxa"/>
            <w:shd w:val="clear" w:color="auto" w:fill="auto"/>
          </w:tcPr>
          <w:p w:rsidR="00D21B07" w:rsidRPr="003A7970" w:rsidRDefault="00D21B07" w:rsidP="00DF21CB">
            <w:pPr>
              <w:rPr>
                <w:rFonts w:eastAsia="宋體"/>
                <w:sz w:val="20"/>
                <w:lang w:eastAsia="zh-TW"/>
              </w:rPr>
            </w:pPr>
            <w:r w:rsidRPr="003A7970">
              <w:rPr>
                <w:rFonts w:eastAsia="宋體"/>
                <w:sz w:val="20"/>
                <w:lang w:eastAsia="zh-TW"/>
              </w:rPr>
              <w:t>RM</w:t>
            </w:r>
            <w:r w:rsidR="00DF21CB">
              <w:rPr>
                <w:rFonts w:eastAsia="宋體"/>
                <w:sz w:val="20"/>
                <w:lang w:eastAsia="zh-TW"/>
              </w:rPr>
              <w:t>704</w:t>
            </w:r>
            <w:r w:rsidR="00BD4013" w:rsidRPr="003A7970">
              <w:rPr>
                <w:rFonts w:eastAsia="宋體"/>
                <w:sz w:val="20"/>
                <w:lang w:eastAsia="zh-TW"/>
              </w:rPr>
              <w:t>,</w:t>
            </w:r>
            <w:r w:rsidR="00DF21CB">
              <w:rPr>
                <w:rFonts w:eastAsia="宋體"/>
                <w:sz w:val="20"/>
                <w:lang w:eastAsia="zh-TW"/>
              </w:rPr>
              <w:t>891</w:t>
            </w:r>
          </w:p>
        </w:tc>
      </w:tr>
      <w:tr w:rsidR="00B747E3" w:rsidRPr="003A7970" w:rsidTr="00FE36FA">
        <w:tc>
          <w:tcPr>
            <w:tcW w:w="1350" w:type="dxa"/>
            <w:shd w:val="clear" w:color="auto" w:fill="auto"/>
          </w:tcPr>
          <w:p w:rsidR="00B747E3" w:rsidRPr="003A7970" w:rsidRDefault="00B747E3" w:rsidP="00F83628">
            <w:pPr>
              <w:rPr>
                <w:rFonts w:eastAsia="宋體"/>
                <w:sz w:val="20"/>
                <w:lang w:eastAsia="zh-TW"/>
              </w:rPr>
            </w:pPr>
            <w:proofErr w:type="spellStart"/>
            <w:r>
              <w:rPr>
                <w:rFonts w:eastAsia="宋體"/>
                <w:sz w:val="20"/>
                <w:lang w:eastAsia="zh-TW"/>
              </w:rPr>
              <w:t>Lii</w:t>
            </w:r>
            <w:proofErr w:type="spellEnd"/>
            <w:r>
              <w:rPr>
                <w:rFonts w:eastAsia="宋體"/>
                <w:sz w:val="20"/>
                <w:lang w:eastAsia="zh-TW"/>
              </w:rPr>
              <w:t xml:space="preserve"> Hen  Furniture </w:t>
            </w:r>
            <w:proofErr w:type="spellStart"/>
            <w:r>
              <w:rPr>
                <w:rFonts w:eastAsia="宋體"/>
                <w:sz w:val="20"/>
                <w:lang w:eastAsia="zh-TW"/>
              </w:rPr>
              <w:t>Sdn</w:t>
            </w:r>
            <w:proofErr w:type="spellEnd"/>
            <w:r>
              <w:rPr>
                <w:rFonts w:eastAsia="宋體"/>
                <w:sz w:val="20"/>
                <w:lang w:eastAsia="zh-TW"/>
              </w:rPr>
              <w:t xml:space="preserve"> Bhd</w:t>
            </w:r>
          </w:p>
        </w:tc>
        <w:tc>
          <w:tcPr>
            <w:tcW w:w="2070" w:type="dxa"/>
            <w:shd w:val="clear" w:color="auto" w:fill="auto"/>
          </w:tcPr>
          <w:p w:rsidR="00B747E3" w:rsidRPr="003A7970" w:rsidRDefault="00B747E3" w:rsidP="00F83628">
            <w:pPr>
              <w:rPr>
                <w:rFonts w:eastAsia="宋體"/>
                <w:sz w:val="20"/>
                <w:lang w:eastAsia="zh-TW"/>
              </w:rPr>
            </w:pPr>
            <w:r>
              <w:rPr>
                <w:rFonts w:eastAsia="宋體"/>
                <w:sz w:val="20"/>
                <w:lang w:eastAsia="zh-TW"/>
              </w:rPr>
              <w:t>Paragon Progress Sdn Bhd</w:t>
            </w:r>
          </w:p>
        </w:tc>
        <w:tc>
          <w:tcPr>
            <w:tcW w:w="1890" w:type="dxa"/>
            <w:shd w:val="clear" w:color="auto" w:fill="auto"/>
          </w:tcPr>
          <w:p w:rsidR="00B747E3" w:rsidRPr="003A7970" w:rsidRDefault="00B747E3" w:rsidP="00F83628">
            <w:pPr>
              <w:rPr>
                <w:rFonts w:eastAsia="宋體"/>
                <w:sz w:val="20"/>
                <w:lang w:eastAsia="zh-TW"/>
              </w:rPr>
            </w:pPr>
            <w:r>
              <w:rPr>
                <w:rFonts w:eastAsia="宋體"/>
                <w:sz w:val="20"/>
                <w:lang w:eastAsia="zh-TW"/>
              </w:rPr>
              <w:t xml:space="preserve">A company in which Chua Lee Seng, </w:t>
            </w:r>
            <w:proofErr w:type="spellStart"/>
            <w:r>
              <w:rPr>
                <w:rFonts w:eastAsia="宋體"/>
                <w:sz w:val="20"/>
                <w:lang w:eastAsia="zh-TW"/>
              </w:rPr>
              <w:t>Tok</w:t>
            </w:r>
            <w:proofErr w:type="spellEnd"/>
            <w:r>
              <w:rPr>
                <w:rFonts w:eastAsia="宋體"/>
                <w:sz w:val="20"/>
                <w:lang w:eastAsia="zh-TW"/>
              </w:rPr>
              <w:t xml:space="preserve"> </w:t>
            </w:r>
            <w:proofErr w:type="spellStart"/>
            <w:r>
              <w:rPr>
                <w:rFonts w:eastAsia="宋體"/>
                <w:sz w:val="20"/>
                <w:lang w:eastAsia="zh-TW"/>
              </w:rPr>
              <w:t>Heng</w:t>
            </w:r>
            <w:proofErr w:type="spellEnd"/>
            <w:r>
              <w:rPr>
                <w:rFonts w:eastAsia="宋體"/>
                <w:sz w:val="20"/>
                <w:lang w:eastAsia="zh-TW"/>
              </w:rPr>
              <w:t xml:space="preserve"> Leong, Tan Bee Eng and Chua Yong </w:t>
            </w:r>
            <w:proofErr w:type="spellStart"/>
            <w:r>
              <w:rPr>
                <w:rFonts w:eastAsia="宋體"/>
                <w:sz w:val="20"/>
                <w:lang w:eastAsia="zh-TW"/>
              </w:rPr>
              <w:t>Haup</w:t>
            </w:r>
            <w:proofErr w:type="spellEnd"/>
            <w:r>
              <w:rPr>
                <w:rFonts w:eastAsia="宋體"/>
                <w:sz w:val="20"/>
                <w:lang w:eastAsia="zh-TW"/>
              </w:rPr>
              <w:t xml:space="preserve"> have interest</w:t>
            </w:r>
          </w:p>
        </w:tc>
        <w:tc>
          <w:tcPr>
            <w:tcW w:w="1260" w:type="dxa"/>
            <w:shd w:val="clear" w:color="auto" w:fill="auto"/>
          </w:tcPr>
          <w:p w:rsidR="00B747E3" w:rsidRDefault="00B747E3" w:rsidP="00F83628">
            <w:pPr>
              <w:rPr>
                <w:rFonts w:eastAsia="宋體"/>
                <w:sz w:val="20"/>
                <w:lang w:eastAsia="zh-TW"/>
              </w:rPr>
            </w:pPr>
            <w:r>
              <w:rPr>
                <w:rFonts w:eastAsia="宋體"/>
                <w:sz w:val="20"/>
                <w:lang w:eastAsia="zh-TW"/>
              </w:rPr>
              <w:t>Purchase of coating materials and furniture parts</w:t>
            </w:r>
          </w:p>
          <w:p w:rsidR="00B747E3" w:rsidRPr="003A7970" w:rsidRDefault="00B747E3" w:rsidP="00F83628">
            <w:pPr>
              <w:rPr>
                <w:rFonts w:eastAsia="宋體"/>
                <w:sz w:val="20"/>
                <w:lang w:eastAsia="zh-TW"/>
              </w:rPr>
            </w:pPr>
          </w:p>
        </w:tc>
        <w:tc>
          <w:tcPr>
            <w:tcW w:w="1350" w:type="dxa"/>
            <w:shd w:val="clear" w:color="auto" w:fill="auto"/>
          </w:tcPr>
          <w:p w:rsidR="00B747E3" w:rsidRPr="003A7970" w:rsidRDefault="00B747E3" w:rsidP="00DF21CB">
            <w:pPr>
              <w:rPr>
                <w:rFonts w:eastAsia="宋體"/>
                <w:sz w:val="20"/>
                <w:lang w:eastAsia="zh-TW"/>
              </w:rPr>
            </w:pPr>
            <w:r>
              <w:rPr>
                <w:rFonts w:eastAsia="宋體"/>
                <w:sz w:val="20"/>
                <w:lang w:eastAsia="zh-TW"/>
              </w:rPr>
              <w:t>RM</w:t>
            </w:r>
            <w:r w:rsidR="00DF21CB">
              <w:rPr>
                <w:rFonts w:eastAsia="宋體"/>
                <w:sz w:val="20"/>
                <w:lang w:eastAsia="zh-TW"/>
              </w:rPr>
              <w:t>469</w:t>
            </w:r>
            <w:r>
              <w:rPr>
                <w:rFonts w:eastAsia="宋體"/>
                <w:sz w:val="20"/>
                <w:lang w:eastAsia="zh-TW"/>
              </w:rPr>
              <w:t>,</w:t>
            </w:r>
            <w:r w:rsidR="00DF21CB">
              <w:rPr>
                <w:rFonts w:eastAsia="宋體"/>
                <w:sz w:val="20"/>
                <w:lang w:eastAsia="zh-TW"/>
              </w:rPr>
              <w:t>455</w:t>
            </w:r>
          </w:p>
        </w:tc>
        <w:tc>
          <w:tcPr>
            <w:tcW w:w="1440" w:type="dxa"/>
            <w:shd w:val="clear" w:color="auto" w:fill="auto"/>
          </w:tcPr>
          <w:p w:rsidR="00B747E3" w:rsidRPr="003A7970" w:rsidRDefault="00B747E3" w:rsidP="00DF21CB">
            <w:pPr>
              <w:rPr>
                <w:rFonts w:eastAsia="宋體"/>
                <w:sz w:val="20"/>
                <w:lang w:eastAsia="zh-TW"/>
              </w:rPr>
            </w:pPr>
            <w:r>
              <w:rPr>
                <w:rFonts w:eastAsia="宋體"/>
                <w:sz w:val="20"/>
                <w:lang w:eastAsia="zh-TW"/>
              </w:rPr>
              <w:t>RM</w:t>
            </w:r>
            <w:r w:rsidR="002A0C33">
              <w:rPr>
                <w:rFonts w:eastAsia="宋體"/>
                <w:sz w:val="20"/>
                <w:lang w:eastAsia="zh-TW"/>
              </w:rPr>
              <w:t>1,</w:t>
            </w:r>
            <w:r w:rsidR="00DF21CB">
              <w:rPr>
                <w:rFonts w:eastAsia="宋體"/>
                <w:sz w:val="20"/>
                <w:lang w:eastAsia="zh-TW"/>
              </w:rPr>
              <w:t>896</w:t>
            </w:r>
            <w:r>
              <w:rPr>
                <w:rFonts w:eastAsia="宋體"/>
                <w:sz w:val="20"/>
                <w:lang w:eastAsia="zh-TW"/>
              </w:rPr>
              <w:t>,</w:t>
            </w:r>
            <w:r w:rsidR="00DF21CB">
              <w:rPr>
                <w:rFonts w:eastAsia="宋體"/>
                <w:sz w:val="20"/>
                <w:lang w:eastAsia="zh-TW"/>
              </w:rPr>
              <w:t>688</w:t>
            </w:r>
          </w:p>
        </w:tc>
      </w:tr>
      <w:tr w:rsidR="00C917CF" w:rsidRPr="003A7970" w:rsidTr="00FE36FA">
        <w:tc>
          <w:tcPr>
            <w:tcW w:w="1350" w:type="dxa"/>
            <w:shd w:val="clear" w:color="auto" w:fill="auto"/>
          </w:tcPr>
          <w:p w:rsidR="00C917CF" w:rsidRPr="003A7970" w:rsidRDefault="00C917CF" w:rsidP="00F83628">
            <w:pPr>
              <w:rPr>
                <w:rFonts w:eastAsia="宋體"/>
                <w:sz w:val="20"/>
                <w:lang w:eastAsia="zh-TW"/>
              </w:rPr>
            </w:pPr>
            <w:r w:rsidRPr="003A7970">
              <w:rPr>
                <w:rFonts w:eastAsia="宋體"/>
                <w:sz w:val="20"/>
                <w:lang w:eastAsia="zh-TW"/>
              </w:rPr>
              <w:t>Favourite Design Sdn Bhd</w:t>
            </w:r>
          </w:p>
        </w:tc>
        <w:tc>
          <w:tcPr>
            <w:tcW w:w="2070" w:type="dxa"/>
            <w:shd w:val="clear" w:color="auto" w:fill="auto"/>
          </w:tcPr>
          <w:p w:rsidR="00C917CF" w:rsidRPr="003A7970" w:rsidRDefault="00C917CF" w:rsidP="00F83628">
            <w:pPr>
              <w:rPr>
                <w:rFonts w:eastAsia="宋體"/>
                <w:sz w:val="20"/>
                <w:lang w:eastAsia="zh-TW"/>
              </w:rPr>
            </w:pPr>
            <w:r w:rsidRPr="003A7970">
              <w:rPr>
                <w:rFonts w:eastAsia="宋體"/>
                <w:sz w:val="20"/>
                <w:lang w:eastAsia="zh-TW"/>
              </w:rPr>
              <w:t>Domain Partners Sdn Bhd</w:t>
            </w:r>
          </w:p>
        </w:tc>
        <w:tc>
          <w:tcPr>
            <w:tcW w:w="1890" w:type="dxa"/>
            <w:shd w:val="clear" w:color="auto" w:fill="auto"/>
          </w:tcPr>
          <w:p w:rsidR="00C917CF" w:rsidRPr="003A7970" w:rsidRDefault="00C917CF" w:rsidP="00F83628">
            <w:pPr>
              <w:rPr>
                <w:rFonts w:eastAsia="宋體"/>
                <w:sz w:val="20"/>
                <w:lang w:eastAsia="zh-TW"/>
              </w:rPr>
            </w:pPr>
            <w:r w:rsidRPr="003A7970">
              <w:rPr>
                <w:rFonts w:eastAsia="宋體"/>
                <w:sz w:val="20"/>
                <w:lang w:eastAsia="zh-TW"/>
              </w:rPr>
              <w:t xml:space="preserve">A company in which Chua Lee Seng, </w:t>
            </w:r>
            <w:proofErr w:type="spellStart"/>
            <w:r w:rsidRPr="003A7970">
              <w:rPr>
                <w:rFonts w:eastAsia="宋體"/>
                <w:sz w:val="20"/>
                <w:lang w:eastAsia="zh-TW"/>
              </w:rPr>
              <w:t>Tok</w:t>
            </w:r>
            <w:proofErr w:type="spellEnd"/>
            <w:r w:rsidRPr="003A7970">
              <w:rPr>
                <w:rFonts w:eastAsia="宋體"/>
                <w:sz w:val="20"/>
                <w:lang w:eastAsia="zh-TW"/>
              </w:rPr>
              <w:t xml:space="preserve"> </w:t>
            </w:r>
            <w:proofErr w:type="spellStart"/>
            <w:r w:rsidRPr="003A7970">
              <w:rPr>
                <w:rFonts w:eastAsia="宋體"/>
                <w:sz w:val="20"/>
                <w:lang w:eastAsia="zh-TW"/>
              </w:rPr>
              <w:t>Heng</w:t>
            </w:r>
            <w:proofErr w:type="spellEnd"/>
            <w:r w:rsidRPr="003A7970">
              <w:rPr>
                <w:rFonts w:eastAsia="宋體"/>
                <w:sz w:val="20"/>
                <w:lang w:eastAsia="zh-TW"/>
              </w:rPr>
              <w:t xml:space="preserve"> Leong, Tan Bee Eng and Chua Yong </w:t>
            </w:r>
            <w:proofErr w:type="spellStart"/>
            <w:r w:rsidRPr="003A7970">
              <w:rPr>
                <w:rFonts w:eastAsia="宋體"/>
                <w:sz w:val="20"/>
                <w:lang w:eastAsia="zh-TW"/>
              </w:rPr>
              <w:t>Haup</w:t>
            </w:r>
            <w:proofErr w:type="spellEnd"/>
            <w:r w:rsidRPr="003A7970">
              <w:rPr>
                <w:rFonts w:eastAsia="宋體"/>
                <w:sz w:val="20"/>
                <w:lang w:eastAsia="zh-TW"/>
              </w:rPr>
              <w:t xml:space="preserve"> have interest</w:t>
            </w:r>
          </w:p>
        </w:tc>
        <w:tc>
          <w:tcPr>
            <w:tcW w:w="1260" w:type="dxa"/>
            <w:shd w:val="clear" w:color="auto" w:fill="auto"/>
          </w:tcPr>
          <w:p w:rsidR="00C917CF" w:rsidRPr="003A7970" w:rsidRDefault="00C917CF" w:rsidP="00F83628">
            <w:pPr>
              <w:rPr>
                <w:rFonts w:eastAsia="宋體"/>
                <w:sz w:val="20"/>
                <w:lang w:eastAsia="zh-TW"/>
              </w:rPr>
            </w:pPr>
            <w:r w:rsidRPr="003A7970">
              <w:rPr>
                <w:rFonts w:eastAsia="宋體"/>
                <w:sz w:val="20"/>
                <w:lang w:eastAsia="zh-TW"/>
              </w:rPr>
              <w:t>Renting of buildings</w:t>
            </w:r>
          </w:p>
        </w:tc>
        <w:tc>
          <w:tcPr>
            <w:tcW w:w="1350" w:type="dxa"/>
            <w:shd w:val="clear" w:color="auto" w:fill="auto"/>
          </w:tcPr>
          <w:p w:rsidR="00C917CF" w:rsidRPr="003A7970" w:rsidRDefault="00C917CF" w:rsidP="00DF21CB">
            <w:pPr>
              <w:rPr>
                <w:rFonts w:eastAsia="宋體"/>
                <w:sz w:val="20"/>
                <w:lang w:eastAsia="zh-TW"/>
              </w:rPr>
            </w:pPr>
            <w:r w:rsidRPr="003A7970">
              <w:rPr>
                <w:rFonts w:eastAsia="宋體"/>
                <w:sz w:val="20"/>
                <w:lang w:eastAsia="zh-TW"/>
              </w:rPr>
              <w:t>RM</w:t>
            </w:r>
            <w:r w:rsidR="00E41861" w:rsidRPr="003A7970">
              <w:rPr>
                <w:rFonts w:eastAsia="宋體"/>
                <w:sz w:val="20"/>
                <w:lang w:eastAsia="zh-TW"/>
              </w:rPr>
              <w:t>1</w:t>
            </w:r>
            <w:r w:rsidR="00DF21CB">
              <w:rPr>
                <w:rFonts w:eastAsia="宋體"/>
                <w:sz w:val="20"/>
                <w:lang w:eastAsia="zh-TW"/>
              </w:rPr>
              <w:t>75</w:t>
            </w:r>
            <w:r w:rsidR="00E41861" w:rsidRPr="003A7970">
              <w:rPr>
                <w:rFonts w:eastAsia="宋體"/>
                <w:sz w:val="20"/>
                <w:lang w:eastAsia="zh-TW"/>
              </w:rPr>
              <w:t>,3</w:t>
            </w:r>
            <w:r w:rsidR="00DF21CB">
              <w:rPr>
                <w:rFonts w:eastAsia="宋體"/>
                <w:sz w:val="20"/>
                <w:lang w:eastAsia="zh-TW"/>
              </w:rPr>
              <w:t>58</w:t>
            </w:r>
          </w:p>
        </w:tc>
        <w:tc>
          <w:tcPr>
            <w:tcW w:w="1440" w:type="dxa"/>
            <w:shd w:val="clear" w:color="auto" w:fill="auto"/>
          </w:tcPr>
          <w:p w:rsidR="00C917CF" w:rsidRPr="003A7970" w:rsidRDefault="00D941DF" w:rsidP="00DF21CB">
            <w:pPr>
              <w:rPr>
                <w:rFonts w:eastAsia="宋體"/>
                <w:sz w:val="20"/>
                <w:lang w:eastAsia="zh-TW"/>
              </w:rPr>
            </w:pPr>
            <w:r w:rsidRPr="003A7970">
              <w:rPr>
                <w:rFonts w:eastAsia="宋體"/>
                <w:sz w:val="20"/>
                <w:lang w:eastAsia="zh-TW"/>
              </w:rPr>
              <w:t>RM</w:t>
            </w:r>
            <w:r w:rsidR="00DF21CB">
              <w:rPr>
                <w:rFonts w:eastAsia="宋體"/>
                <w:sz w:val="20"/>
                <w:lang w:eastAsia="zh-TW"/>
              </w:rPr>
              <w:t>422</w:t>
            </w:r>
            <w:r w:rsidRPr="003A7970">
              <w:rPr>
                <w:rFonts w:eastAsia="宋體"/>
                <w:sz w:val="20"/>
                <w:lang w:eastAsia="zh-TW"/>
              </w:rPr>
              <w:t>,</w:t>
            </w:r>
            <w:r w:rsidR="00DF21CB">
              <w:rPr>
                <w:rFonts w:eastAsia="宋體"/>
                <w:sz w:val="20"/>
                <w:lang w:eastAsia="zh-TW"/>
              </w:rPr>
              <w:t>125</w:t>
            </w:r>
          </w:p>
        </w:tc>
      </w:tr>
      <w:tr w:rsidR="009C797F" w:rsidRPr="003A7970" w:rsidTr="00FE36FA">
        <w:tc>
          <w:tcPr>
            <w:tcW w:w="1350" w:type="dxa"/>
            <w:shd w:val="clear" w:color="auto" w:fill="auto"/>
          </w:tcPr>
          <w:p w:rsidR="009C797F" w:rsidRPr="003A7970" w:rsidRDefault="00560192" w:rsidP="00F83628">
            <w:pPr>
              <w:rPr>
                <w:rFonts w:eastAsia="宋體"/>
                <w:sz w:val="20"/>
                <w:lang w:eastAsia="zh-TW"/>
              </w:rPr>
            </w:pPr>
            <w:r w:rsidRPr="003A7970">
              <w:rPr>
                <w:rFonts w:eastAsia="宋體"/>
                <w:sz w:val="20"/>
                <w:lang w:eastAsia="zh-TW"/>
              </w:rPr>
              <w:t>Favourite Design Sdn Bhd</w:t>
            </w:r>
          </w:p>
        </w:tc>
        <w:tc>
          <w:tcPr>
            <w:tcW w:w="2070" w:type="dxa"/>
            <w:shd w:val="clear" w:color="auto" w:fill="auto"/>
          </w:tcPr>
          <w:p w:rsidR="009C797F" w:rsidRPr="003A7970" w:rsidRDefault="00560192" w:rsidP="00F83628">
            <w:pPr>
              <w:rPr>
                <w:rFonts w:eastAsia="宋體"/>
                <w:sz w:val="20"/>
                <w:lang w:eastAsia="zh-TW"/>
              </w:rPr>
            </w:pPr>
            <w:r w:rsidRPr="003A7970">
              <w:rPr>
                <w:rFonts w:eastAsia="宋體"/>
                <w:sz w:val="20"/>
                <w:lang w:eastAsia="zh-TW"/>
              </w:rPr>
              <w:t xml:space="preserve">Double Soon </w:t>
            </w:r>
            <w:proofErr w:type="spellStart"/>
            <w:r w:rsidRPr="003A7970">
              <w:rPr>
                <w:rFonts w:eastAsia="宋體"/>
                <w:sz w:val="20"/>
                <w:lang w:eastAsia="zh-TW"/>
              </w:rPr>
              <w:t>Huat</w:t>
            </w:r>
            <w:proofErr w:type="spellEnd"/>
            <w:r w:rsidRPr="003A7970">
              <w:rPr>
                <w:rFonts w:eastAsia="宋體"/>
                <w:sz w:val="20"/>
                <w:lang w:eastAsia="zh-TW"/>
              </w:rPr>
              <w:t xml:space="preserve"> Enterprise</w:t>
            </w:r>
          </w:p>
        </w:tc>
        <w:tc>
          <w:tcPr>
            <w:tcW w:w="1890" w:type="dxa"/>
            <w:shd w:val="clear" w:color="auto" w:fill="auto"/>
          </w:tcPr>
          <w:p w:rsidR="009C797F" w:rsidRPr="003A7970" w:rsidRDefault="00560192" w:rsidP="00F83628">
            <w:pPr>
              <w:rPr>
                <w:rFonts w:eastAsia="宋體"/>
                <w:sz w:val="20"/>
                <w:lang w:eastAsia="zh-TW"/>
              </w:rPr>
            </w:pPr>
            <w:r w:rsidRPr="003A7970">
              <w:rPr>
                <w:rFonts w:eastAsia="宋體"/>
                <w:sz w:val="20"/>
                <w:lang w:eastAsia="zh-TW"/>
              </w:rPr>
              <w:t xml:space="preserve">A company in which Chua Yong </w:t>
            </w:r>
            <w:proofErr w:type="spellStart"/>
            <w:r w:rsidRPr="003A7970">
              <w:rPr>
                <w:rFonts w:eastAsia="宋體"/>
                <w:sz w:val="20"/>
                <w:lang w:eastAsia="zh-TW"/>
              </w:rPr>
              <w:t>Haup</w:t>
            </w:r>
            <w:proofErr w:type="spellEnd"/>
            <w:r w:rsidRPr="003A7970">
              <w:rPr>
                <w:rFonts w:eastAsia="宋體"/>
                <w:sz w:val="20"/>
                <w:lang w:eastAsia="zh-TW"/>
              </w:rPr>
              <w:t xml:space="preserve"> </w:t>
            </w:r>
            <w:r w:rsidR="00DF348D" w:rsidRPr="003A7970">
              <w:rPr>
                <w:rFonts w:eastAsia="宋體"/>
                <w:sz w:val="20"/>
                <w:lang w:eastAsia="zh-TW"/>
              </w:rPr>
              <w:t xml:space="preserve">is a connected person. </w:t>
            </w:r>
          </w:p>
        </w:tc>
        <w:tc>
          <w:tcPr>
            <w:tcW w:w="1260" w:type="dxa"/>
            <w:shd w:val="clear" w:color="auto" w:fill="auto"/>
          </w:tcPr>
          <w:p w:rsidR="009C797F" w:rsidRPr="003A7970" w:rsidRDefault="00DF348D" w:rsidP="00F83628">
            <w:pPr>
              <w:rPr>
                <w:rFonts w:eastAsia="宋體"/>
                <w:sz w:val="20"/>
                <w:lang w:eastAsia="zh-TW"/>
              </w:rPr>
            </w:pPr>
            <w:r w:rsidRPr="003A7970">
              <w:rPr>
                <w:rFonts w:eastAsia="宋體"/>
                <w:sz w:val="20"/>
                <w:lang w:eastAsia="zh-TW"/>
              </w:rPr>
              <w:t>Provide subcontract charges</w:t>
            </w:r>
          </w:p>
        </w:tc>
        <w:tc>
          <w:tcPr>
            <w:tcW w:w="1350" w:type="dxa"/>
            <w:shd w:val="clear" w:color="auto" w:fill="auto"/>
          </w:tcPr>
          <w:p w:rsidR="009C797F" w:rsidRPr="003A7970" w:rsidRDefault="00DF348D" w:rsidP="00DF21CB">
            <w:pPr>
              <w:rPr>
                <w:rFonts w:eastAsia="宋體"/>
                <w:sz w:val="20"/>
                <w:lang w:eastAsia="zh-TW"/>
              </w:rPr>
            </w:pPr>
            <w:r w:rsidRPr="003A7970">
              <w:rPr>
                <w:rFonts w:eastAsia="宋體"/>
                <w:sz w:val="20"/>
                <w:lang w:eastAsia="zh-TW"/>
              </w:rPr>
              <w:t>RM</w:t>
            </w:r>
            <w:r w:rsidR="00DF21CB">
              <w:rPr>
                <w:rFonts w:eastAsia="宋體"/>
                <w:sz w:val="20"/>
                <w:lang w:eastAsia="zh-TW"/>
              </w:rPr>
              <w:t>398</w:t>
            </w:r>
            <w:r w:rsidR="003B4A89" w:rsidRPr="003A7970">
              <w:rPr>
                <w:rFonts w:eastAsia="宋體"/>
                <w:sz w:val="20"/>
                <w:lang w:eastAsia="zh-TW"/>
              </w:rPr>
              <w:t>,</w:t>
            </w:r>
            <w:r w:rsidR="00DF21CB">
              <w:rPr>
                <w:rFonts w:eastAsia="宋體"/>
                <w:sz w:val="20"/>
                <w:lang w:eastAsia="zh-TW"/>
              </w:rPr>
              <w:t>333</w:t>
            </w:r>
          </w:p>
        </w:tc>
        <w:tc>
          <w:tcPr>
            <w:tcW w:w="1440" w:type="dxa"/>
            <w:shd w:val="clear" w:color="auto" w:fill="auto"/>
          </w:tcPr>
          <w:p w:rsidR="009C797F" w:rsidRPr="003A7970" w:rsidRDefault="00DF348D" w:rsidP="00DF21CB">
            <w:pPr>
              <w:rPr>
                <w:rFonts w:eastAsia="宋體"/>
                <w:sz w:val="20"/>
                <w:lang w:eastAsia="zh-TW"/>
              </w:rPr>
            </w:pPr>
            <w:r w:rsidRPr="003A7970">
              <w:rPr>
                <w:rFonts w:eastAsia="宋體"/>
                <w:sz w:val="20"/>
                <w:lang w:eastAsia="zh-TW"/>
              </w:rPr>
              <w:t>RM</w:t>
            </w:r>
            <w:r w:rsidR="00DF21CB">
              <w:rPr>
                <w:rFonts w:eastAsia="宋體"/>
                <w:sz w:val="20"/>
                <w:lang w:eastAsia="zh-TW"/>
              </w:rPr>
              <w:t>1,298</w:t>
            </w:r>
            <w:r w:rsidR="00E020EB" w:rsidRPr="003A7970">
              <w:rPr>
                <w:rFonts w:eastAsia="宋體"/>
                <w:sz w:val="20"/>
                <w:lang w:eastAsia="zh-TW"/>
              </w:rPr>
              <w:t>,</w:t>
            </w:r>
            <w:r w:rsidR="00DF21CB">
              <w:rPr>
                <w:rFonts w:eastAsia="宋體"/>
                <w:sz w:val="20"/>
                <w:lang w:eastAsia="zh-TW"/>
              </w:rPr>
              <w:t>354</w:t>
            </w:r>
          </w:p>
        </w:tc>
      </w:tr>
      <w:tr w:rsidR="00B747E3" w:rsidRPr="003A7970" w:rsidTr="00FE36FA">
        <w:tc>
          <w:tcPr>
            <w:tcW w:w="1350" w:type="dxa"/>
            <w:shd w:val="clear" w:color="auto" w:fill="auto"/>
          </w:tcPr>
          <w:p w:rsidR="00B747E3" w:rsidRPr="003A7970" w:rsidRDefault="00B747E3" w:rsidP="00F83628">
            <w:pPr>
              <w:rPr>
                <w:rFonts w:eastAsia="宋體"/>
                <w:sz w:val="20"/>
                <w:lang w:eastAsia="zh-TW"/>
              </w:rPr>
            </w:pPr>
            <w:r>
              <w:rPr>
                <w:rFonts w:eastAsia="宋體"/>
                <w:sz w:val="20"/>
                <w:lang w:eastAsia="zh-TW"/>
              </w:rPr>
              <w:t>Favourite Design Sdn Bhd</w:t>
            </w:r>
          </w:p>
        </w:tc>
        <w:tc>
          <w:tcPr>
            <w:tcW w:w="2070" w:type="dxa"/>
            <w:shd w:val="clear" w:color="auto" w:fill="auto"/>
          </w:tcPr>
          <w:p w:rsidR="00B747E3" w:rsidRPr="003A7970" w:rsidRDefault="00B747E3" w:rsidP="00F83628">
            <w:pPr>
              <w:rPr>
                <w:rFonts w:eastAsia="宋體"/>
                <w:sz w:val="20"/>
                <w:lang w:eastAsia="zh-TW"/>
              </w:rPr>
            </w:pPr>
            <w:r>
              <w:rPr>
                <w:rFonts w:eastAsia="宋體"/>
                <w:sz w:val="20"/>
                <w:lang w:eastAsia="zh-TW"/>
              </w:rPr>
              <w:t>Paragon Progress Sdn Bhd</w:t>
            </w:r>
          </w:p>
        </w:tc>
        <w:tc>
          <w:tcPr>
            <w:tcW w:w="1890" w:type="dxa"/>
            <w:shd w:val="clear" w:color="auto" w:fill="auto"/>
          </w:tcPr>
          <w:p w:rsidR="00B747E3" w:rsidRPr="003A7970" w:rsidRDefault="00B747E3" w:rsidP="00F83628">
            <w:pPr>
              <w:rPr>
                <w:rFonts w:eastAsia="宋體"/>
                <w:sz w:val="20"/>
                <w:lang w:eastAsia="zh-TW"/>
              </w:rPr>
            </w:pPr>
            <w:r>
              <w:rPr>
                <w:rFonts w:eastAsia="宋體"/>
                <w:sz w:val="20"/>
                <w:lang w:eastAsia="zh-TW"/>
              </w:rPr>
              <w:t xml:space="preserve">A Company in which Chua Lee Seng, </w:t>
            </w:r>
            <w:proofErr w:type="spellStart"/>
            <w:r>
              <w:rPr>
                <w:rFonts w:eastAsia="宋體"/>
                <w:sz w:val="20"/>
                <w:lang w:eastAsia="zh-TW"/>
              </w:rPr>
              <w:t>Tok</w:t>
            </w:r>
            <w:proofErr w:type="spellEnd"/>
            <w:r>
              <w:rPr>
                <w:rFonts w:eastAsia="宋體"/>
                <w:sz w:val="20"/>
                <w:lang w:eastAsia="zh-TW"/>
              </w:rPr>
              <w:t xml:space="preserve"> </w:t>
            </w:r>
            <w:proofErr w:type="spellStart"/>
            <w:r>
              <w:rPr>
                <w:rFonts w:eastAsia="宋體"/>
                <w:sz w:val="20"/>
                <w:lang w:eastAsia="zh-TW"/>
              </w:rPr>
              <w:t>Heng</w:t>
            </w:r>
            <w:proofErr w:type="spellEnd"/>
            <w:r>
              <w:rPr>
                <w:rFonts w:eastAsia="宋體"/>
                <w:sz w:val="20"/>
                <w:lang w:eastAsia="zh-TW"/>
              </w:rPr>
              <w:t xml:space="preserve"> Leong, Tan Bee Eng and Chua Yong </w:t>
            </w:r>
            <w:proofErr w:type="spellStart"/>
            <w:r>
              <w:rPr>
                <w:rFonts w:eastAsia="宋體"/>
                <w:sz w:val="20"/>
                <w:lang w:eastAsia="zh-TW"/>
              </w:rPr>
              <w:t>Haup</w:t>
            </w:r>
            <w:proofErr w:type="spellEnd"/>
            <w:r>
              <w:rPr>
                <w:rFonts w:eastAsia="宋體"/>
                <w:sz w:val="20"/>
                <w:lang w:eastAsia="zh-TW"/>
              </w:rPr>
              <w:t xml:space="preserve"> have interest</w:t>
            </w:r>
          </w:p>
        </w:tc>
        <w:tc>
          <w:tcPr>
            <w:tcW w:w="1260" w:type="dxa"/>
            <w:shd w:val="clear" w:color="auto" w:fill="auto"/>
          </w:tcPr>
          <w:p w:rsidR="00B747E3" w:rsidRPr="003A7970" w:rsidRDefault="00B747E3" w:rsidP="00F83628">
            <w:pPr>
              <w:rPr>
                <w:rFonts w:eastAsia="宋體"/>
                <w:sz w:val="20"/>
                <w:lang w:eastAsia="zh-TW"/>
              </w:rPr>
            </w:pPr>
            <w:r>
              <w:rPr>
                <w:rFonts w:eastAsia="宋體"/>
                <w:sz w:val="20"/>
                <w:lang w:eastAsia="zh-TW"/>
              </w:rPr>
              <w:t>Purchase of coating materials and furniture parts</w:t>
            </w:r>
          </w:p>
        </w:tc>
        <w:tc>
          <w:tcPr>
            <w:tcW w:w="1350" w:type="dxa"/>
            <w:shd w:val="clear" w:color="auto" w:fill="auto"/>
          </w:tcPr>
          <w:p w:rsidR="00B747E3" w:rsidRPr="003A7970" w:rsidRDefault="00B747E3" w:rsidP="00DF21CB">
            <w:pPr>
              <w:rPr>
                <w:rFonts w:eastAsia="宋體"/>
                <w:sz w:val="20"/>
                <w:lang w:eastAsia="zh-TW"/>
              </w:rPr>
            </w:pPr>
            <w:r>
              <w:rPr>
                <w:rFonts w:eastAsia="宋體"/>
                <w:sz w:val="20"/>
                <w:lang w:eastAsia="zh-TW"/>
              </w:rPr>
              <w:t>RM</w:t>
            </w:r>
            <w:r w:rsidR="00DF21CB">
              <w:rPr>
                <w:rFonts w:eastAsia="宋體"/>
                <w:sz w:val="20"/>
                <w:lang w:eastAsia="zh-TW"/>
              </w:rPr>
              <w:t>7</w:t>
            </w:r>
            <w:r>
              <w:rPr>
                <w:rFonts w:eastAsia="宋體"/>
                <w:sz w:val="20"/>
                <w:lang w:eastAsia="zh-TW"/>
              </w:rPr>
              <w:t>,</w:t>
            </w:r>
            <w:r w:rsidR="00DF21CB">
              <w:rPr>
                <w:rFonts w:eastAsia="宋體"/>
                <w:sz w:val="20"/>
                <w:lang w:eastAsia="zh-TW"/>
              </w:rPr>
              <w:t>521</w:t>
            </w:r>
            <w:r>
              <w:rPr>
                <w:rFonts w:eastAsia="宋體"/>
                <w:sz w:val="20"/>
                <w:lang w:eastAsia="zh-TW"/>
              </w:rPr>
              <w:t>,</w:t>
            </w:r>
            <w:r w:rsidR="00DF21CB">
              <w:rPr>
                <w:rFonts w:eastAsia="宋體"/>
                <w:sz w:val="20"/>
                <w:lang w:eastAsia="zh-TW"/>
              </w:rPr>
              <w:t>664</w:t>
            </w:r>
          </w:p>
        </w:tc>
        <w:tc>
          <w:tcPr>
            <w:tcW w:w="1440" w:type="dxa"/>
            <w:shd w:val="clear" w:color="auto" w:fill="auto"/>
          </w:tcPr>
          <w:p w:rsidR="00B747E3" w:rsidRPr="003A7970" w:rsidRDefault="00B747E3" w:rsidP="00DF21CB">
            <w:pPr>
              <w:rPr>
                <w:rFonts w:eastAsia="宋體"/>
                <w:sz w:val="20"/>
                <w:lang w:eastAsia="zh-TW"/>
              </w:rPr>
            </w:pPr>
            <w:r>
              <w:rPr>
                <w:rFonts w:eastAsia="宋體"/>
                <w:sz w:val="20"/>
                <w:lang w:eastAsia="zh-TW"/>
              </w:rPr>
              <w:t>RM</w:t>
            </w:r>
            <w:r w:rsidR="00DF21CB">
              <w:rPr>
                <w:rFonts w:eastAsia="宋體"/>
                <w:sz w:val="20"/>
                <w:lang w:eastAsia="zh-TW"/>
              </w:rPr>
              <w:t>23</w:t>
            </w:r>
            <w:r w:rsidR="00FE36FA">
              <w:rPr>
                <w:rFonts w:eastAsia="宋體"/>
                <w:sz w:val="20"/>
                <w:lang w:eastAsia="zh-TW"/>
              </w:rPr>
              <w:t>,</w:t>
            </w:r>
            <w:r w:rsidR="00DF21CB">
              <w:rPr>
                <w:rFonts w:eastAsia="宋體"/>
                <w:sz w:val="20"/>
                <w:lang w:eastAsia="zh-TW"/>
              </w:rPr>
              <w:t>107</w:t>
            </w:r>
            <w:r>
              <w:rPr>
                <w:rFonts w:eastAsia="宋體"/>
                <w:sz w:val="20"/>
                <w:lang w:eastAsia="zh-TW"/>
              </w:rPr>
              <w:t>,</w:t>
            </w:r>
            <w:r w:rsidR="00DF21CB">
              <w:rPr>
                <w:rFonts w:eastAsia="宋體"/>
                <w:sz w:val="20"/>
                <w:lang w:eastAsia="zh-TW"/>
              </w:rPr>
              <w:t>375</w:t>
            </w:r>
          </w:p>
        </w:tc>
      </w:tr>
      <w:tr w:rsidR="00B747E3" w:rsidRPr="003A7970" w:rsidTr="00FE36FA">
        <w:tc>
          <w:tcPr>
            <w:tcW w:w="1350" w:type="dxa"/>
            <w:shd w:val="clear" w:color="auto" w:fill="auto"/>
          </w:tcPr>
          <w:p w:rsidR="00B747E3" w:rsidRPr="003A7970" w:rsidRDefault="00B747E3" w:rsidP="00F83628">
            <w:pPr>
              <w:rPr>
                <w:rFonts w:eastAsia="宋體"/>
                <w:sz w:val="20"/>
                <w:lang w:eastAsia="zh-TW"/>
              </w:rPr>
            </w:pPr>
            <w:r>
              <w:rPr>
                <w:rFonts w:eastAsia="宋體"/>
                <w:sz w:val="20"/>
                <w:lang w:eastAsia="zh-TW"/>
              </w:rPr>
              <w:t>Favourite Design Sdn Bhd</w:t>
            </w:r>
          </w:p>
        </w:tc>
        <w:tc>
          <w:tcPr>
            <w:tcW w:w="2070" w:type="dxa"/>
            <w:shd w:val="clear" w:color="auto" w:fill="auto"/>
          </w:tcPr>
          <w:p w:rsidR="00B747E3" w:rsidRPr="003A7970" w:rsidRDefault="00B747E3" w:rsidP="00F83628">
            <w:pPr>
              <w:rPr>
                <w:rFonts w:eastAsia="宋體"/>
                <w:sz w:val="20"/>
                <w:lang w:eastAsia="zh-TW"/>
              </w:rPr>
            </w:pPr>
            <w:r>
              <w:rPr>
                <w:rFonts w:eastAsia="宋體"/>
                <w:sz w:val="20"/>
                <w:lang w:eastAsia="zh-TW"/>
              </w:rPr>
              <w:t>NNST Capital Sdn Bhd</w:t>
            </w:r>
          </w:p>
        </w:tc>
        <w:tc>
          <w:tcPr>
            <w:tcW w:w="1890" w:type="dxa"/>
            <w:shd w:val="clear" w:color="auto" w:fill="auto"/>
          </w:tcPr>
          <w:p w:rsidR="00B747E3" w:rsidRPr="003A7970" w:rsidRDefault="00B747E3" w:rsidP="00F83628">
            <w:pPr>
              <w:rPr>
                <w:rFonts w:eastAsia="宋體"/>
                <w:sz w:val="20"/>
                <w:lang w:eastAsia="zh-TW"/>
              </w:rPr>
            </w:pPr>
            <w:r>
              <w:rPr>
                <w:rFonts w:eastAsia="宋體"/>
                <w:sz w:val="20"/>
                <w:lang w:eastAsia="zh-TW"/>
              </w:rPr>
              <w:t>A company in which Tan Bee Eng has interest</w:t>
            </w:r>
          </w:p>
        </w:tc>
        <w:tc>
          <w:tcPr>
            <w:tcW w:w="1260" w:type="dxa"/>
            <w:shd w:val="clear" w:color="auto" w:fill="auto"/>
          </w:tcPr>
          <w:p w:rsidR="00B747E3" w:rsidRPr="003A7970" w:rsidRDefault="00B747E3" w:rsidP="00F83628">
            <w:pPr>
              <w:rPr>
                <w:rFonts w:eastAsia="宋體"/>
                <w:sz w:val="20"/>
                <w:lang w:eastAsia="zh-TW"/>
              </w:rPr>
            </w:pPr>
            <w:r>
              <w:rPr>
                <w:rFonts w:eastAsia="宋體"/>
                <w:sz w:val="20"/>
                <w:lang w:eastAsia="zh-TW"/>
              </w:rPr>
              <w:t>Renting of building</w:t>
            </w:r>
          </w:p>
        </w:tc>
        <w:tc>
          <w:tcPr>
            <w:tcW w:w="1350" w:type="dxa"/>
            <w:shd w:val="clear" w:color="auto" w:fill="auto"/>
          </w:tcPr>
          <w:p w:rsidR="00B747E3" w:rsidRPr="003A7970" w:rsidRDefault="00B747E3" w:rsidP="00B747E3">
            <w:pPr>
              <w:rPr>
                <w:rFonts w:eastAsia="宋體"/>
                <w:sz w:val="20"/>
                <w:lang w:eastAsia="zh-TW"/>
              </w:rPr>
            </w:pPr>
            <w:r>
              <w:rPr>
                <w:rFonts w:eastAsia="宋體"/>
                <w:sz w:val="20"/>
                <w:lang w:eastAsia="zh-TW"/>
              </w:rPr>
              <w:t>RM</w:t>
            </w:r>
            <w:r w:rsidR="00C24902">
              <w:rPr>
                <w:rFonts w:eastAsia="宋體"/>
                <w:sz w:val="20"/>
                <w:lang w:eastAsia="zh-TW"/>
              </w:rPr>
              <w:t>58,980</w:t>
            </w:r>
          </w:p>
        </w:tc>
        <w:tc>
          <w:tcPr>
            <w:tcW w:w="1440" w:type="dxa"/>
            <w:shd w:val="clear" w:color="auto" w:fill="auto"/>
          </w:tcPr>
          <w:p w:rsidR="00B747E3" w:rsidRPr="003A7970" w:rsidRDefault="00C24902" w:rsidP="00DF21CB">
            <w:pPr>
              <w:rPr>
                <w:rFonts w:eastAsia="宋體"/>
                <w:sz w:val="20"/>
                <w:lang w:eastAsia="zh-TW"/>
              </w:rPr>
            </w:pPr>
            <w:r>
              <w:rPr>
                <w:rFonts w:eastAsia="宋體"/>
                <w:sz w:val="20"/>
                <w:lang w:eastAsia="zh-TW"/>
              </w:rPr>
              <w:t>RM</w:t>
            </w:r>
            <w:r w:rsidR="00805B55">
              <w:rPr>
                <w:rFonts w:eastAsia="宋體"/>
                <w:sz w:val="20"/>
                <w:lang w:eastAsia="zh-TW"/>
              </w:rPr>
              <w:t>1</w:t>
            </w:r>
            <w:r w:rsidR="00DF21CB">
              <w:rPr>
                <w:rFonts w:eastAsia="宋體"/>
                <w:sz w:val="20"/>
                <w:lang w:eastAsia="zh-TW"/>
              </w:rPr>
              <w:t>76</w:t>
            </w:r>
            <w:r w:rsidR="00FE36FA">
              <w:rPr>
                <w:rFonts w:eastAsia="宋體"/>
                <w:sz w:val="20"/>
                <w:lang w:eastAsia="zh-TW"/>
              </w:rPr>
              <w:t>,9</w:t>
            </w:r>
            <w:r w:rsidR="00DF21CB">
              <w:rPr>
                <w:rFonts w:eastAsia="宋體"/>
                <w:sz w:val="20"/>
                <w:lang w:eastAsia="zh-TW"/>
              </w:rPr>
              <w:t>4</w:t>
            </w:r>
            <w:r w:rsidR="00AD14C9">
              <w:rPr>
                <w:rFonts w:eastAsia="宋體"/>
                <w:sz w:val="20"/>
                <w:lang w:eastAsia="zh-TW"/>
              </w:rPr>
              <w:t>0</w:t>
            </w:r>
          </w:p>
        </w:tc>
      </w:tr>
    </w:tbl>
    <w:p w:rsidR="00F83628" w:rsidRDefault="00F83628" w:rsidP="00F83628">
      <w:pPr>
        <w:ind w:left="720"/>
        <w:rPr>
          <w:rFonts w:eastAsia="宋體"/>
          <w:sz w:val="16"/>
          <w:szCs w:val="16"/>
          <w:lang w:eastAsia="zh-TW"/>
        </w:rPr>
      </w:pPr>
    </w:p>
    <w:p w:rsidR="00F5120F" w:rsidRDefault="00F5120F" w:rsidP="00F83628">
      <w:pPr>
        <w:ind w:left="720"/>
        <w:rPr>
          <w:rFonts w:eastAsia="宋體"/>
          <w:sz w:val="16"/>
          <w:szCs w:val="16"/>
          <w:lang w:eastAsia="zh-TW"/>
        </w:rPr>
      </w:pPr>
    </w:p>
    <w:p w:rsidR="00F5120F" w:rsidRDefault="00F5120F" w:rsidP="00F83628">
      <w:pPr>
        <w:ind w:left="720"/>
        <w:rPr>
          <w:rFonts w:eastAsia="宋體"/>
          <w:sz w:val="16"/>
          <w:szCs w:val="16"/>
          <w:lang w:eastAsia="zh-TW"/>
        </w:rPr>
      </w:pPr>
    </w:p>
    <w:p w:rsidR="00F5120F" w:rsidRDefault="00F5120F" w:rsidP="00F83628">
      <w:pPr>
        <w:ind w:left="720"/>
        <w:rPr>
          <w:rFonts w:eastAsia="宋體"/>
          <w:sz w:val="16"/>
          <w:szCs w:val="16"/>
          <w:lang w:eastAsia="zh-TW"/>
        </w:rPr>
      </w:pPr>
    </w:p>
    <w:p w:rsidR="00F53C28" w:rsidRDefault="00F53C28" w:rsidP="00A92F06">
      <w:pPr>
        <w:ind w:left="180"/>
        <w:rPr>
          <w:rFonts w:eastAsia="宋體"/>
          <w:sz w:val="16"/>
          <w:szCs w:val="16"/>
          <w:lang w:eastAsia="zh-TW"/>
        </w:rPr>
      </w:pPr>
    </w:p>
    <w:p w:rsidR="00520BD6" w:rsidRDefault="00520BD6" w:rsidP="00A92F06">
      <w:pPr>
        <w:ind w:left="180"/>
        <w:rPr>
          <w:rFonts w:eastAsia="宋體"/>
          <w:sz w:val="16"/>
          <w:szCs w:val="16"/>
          <w:lang w:eastAsia="zh-TW"/>
        </w:rPr>
      </w:pPr>
    </w:p>
    <w:p w:rsidR="00520BD6" w:rsidRDefault="00520BD6" w:rsidP="00A92F06">
      <w:pPr>
        <w:ind w:left="180"/>
        <w:rPr>
          <w:rFonts w:eastAsia="宋體"/>
          <w:sz w:val="16"/>
          <w:szCs w:val="16"/>
          <w:lang w:eastAsia="zh-TW"/>
        </w:rPr>
      </w:pPr>
    </w:p>
    <w:p w:rsidR="00520BD6" w:rsidRDefault="00520BD6" w:rsidP="00A92F06">
      <w:pPr>
        <w:ind w:left="180"/>
        <w:rPr>
          <w:rFonts w:eastAsia="宋體"/>
          <w:sz w:val="16"/>
          <w:szCs w:val="16"/>
          <w:lang w:eastAsia="zh-TW"/>
        </w:rPr>
      </w:pPr>
    </w:p>
    <w:p w:rsidR="00D94256" w:rsidRDefault="00D94256" w:rsidP="00A92F06">
      <w:pPr>
        <w:ind w:left="180"/>
        <w:rPr>
          <w:rFonts w:eastAsia="宋體"/>
          <w:sz w:val="16"/>
          <w:szCs w:val="16"/>
          <w:lang w:eastAsia="zh-TW"/>
        </w:rPr>
      </w:pPr>
    </w:p>
    <w:p w:rsidR="0033518B" w:rsidRDefault="0033518B" w:rsidP="00520BD6">
      <w:pPr>
        <w:rPr>
          <w:rFonts w:eastAsia="宋體"/>
          <w:lang w:eastAsia="zh-TW"/>
        </w:rPr>
      </w:pPr>
      <w:r>
        <w:rPr>
          <w:rFonts w:eastAsia="宋體"/>
          <w:lang w:eastAsia="zh-TW"/>
        </w:rPr>
        <w:t>-continue</w:t>
      </w:r>
      <w:r w:rsidR="005C5597">
        <w:rPr>
          <w:rFonts w:eastAsia="宋體"/>
          <w:lang w:eastAsia="zh-TW"/>
        </w:rPr>
        <w:t>d</w:t>
      </w:r>
    </w:p>
    <w:p w:rsidR="009E69BF" w:rsidRDefault="009E69BF" w:rsidP="00A92F06">
      <w:pPr>
        <w:ind w:left="180"/>
        <w:rPr>
          <w:rFonts w:eastAsia="宋體"/>
          <w:lang w:eastAsia="zh-TW"/>
        </w:rPr>
      </w:pPr>
      <w:r>
        <w:rPr>
          <w:rFonts w:eastAsia="宋體"/>
          <w:lang w:eastAsia="zh-TW"/>
        </w:rPr>
        <w:t xml:space="preserve"> </w:t>
      </w:r>
      <w:r>
        <w:rPr>
          <w:rFonts w:eastAsia="宋體" w:hint="eastAsia"/>
          <w:lang w:eastAsia="zh-TW"/>
        </w:rPr>
        <w:tab/>
      </w:r>
      <w:r>
        <w:rPr>
          <w:rFonts w:eastAsia="宋體"/>
          <w:lang w:eastAsia="zh-TW"/>
        </w:rPr>
        <w:t xml:space="preserve">            </w:t>
      </w:r>
    </w:p>
    <w:p w:rsidR="009E69BF" w:rsidRDefault="009E69BF">
      <w:pPr>
        <w:pStyle w:val="Heading1"/>
      </w:pPr>
      <w:r>
        <w:t xml:space="preserve">ADDITIONAL INFORMATION REQUIRED BY </w:t>
      </w:r>
      <w:smartTag w:uri="urn:schemas-microsoft-com:office:smarttags" w:element="City">
        <w:smartTag w:uri="urn:schemas-microsoft-com:office:smarttags" w:element="place">
          <w:r>
            <w:t>BURSA</w:t>
          </w:r>
        </w:smartTag>
      </w:smartTag>
      <w:r>
        <w:t xml:space="preserve"> </w:t>
      </w:r>
      <w:smartTag w:uri="urn:schemas-microsoft-com:office:smarttags" w:element="country-region">
        <w:smartTag w:uri="urn:schemas-microsoft-com:office:smarttags" w:element="place">
          <w:r>
            <w:t>MALAYSIA</w:t>
          </w:r>
        </w:smartTag>
      </w:smartTag>
      <w:r>
        <w:t xml:space="preserve"> LISTING REQUIREMENTS</w:t>
      </w:r>
    </w:p>
    <w:p w:rsidR="009636DA" w:rsidRDefault="009636DA"/>
    <w:p w:rsidR="007A3B40" w:rsidRPr="00037AE8" w:rsidRDefault="009E69BF" w:rsidP="00037AE8">
      <w:pPr>
        <w:pStyle w:val="ListParagraph"/>
        <w:numPr>
          <w:ilvl w:val="0"/>
          <w:numId w:val="12"/>
        </w:numPr>
        <w:rPr>
          <w:b/>
          <w:bCs/>
        </w:rPr>
      </w:pPr>
      <w:r w:rsidRPr="00037AE8">
        <w:rPr>
          <w:b/>
          <w:bCs/>
        </w:rPr>
        <w:t>Review of performance</w:t>
      </w:r>
      <w:r>
        <w:t xml:space="preserve">   </w:t>
      </w:r>
    </w:p>
    <w:p w:rsidR="009B3691" w:rsidRDefault="006472B0" w:rsidP="00FE3D53">
      <w:r>
        <w:t xml:space="preserve">             </w:t>
      </w:r>
    </w:p>
    <w:p w:rsidR="009B3691" w:rsidRDefault="009B3691" w:rsidP="00DB4732">
      <w:r>
        <w:tab/>
        <w:t>The Group performance for the quarter under review against the corresponding quarter of the</w:t>
      </w:r>
      <w:r>
        <w:tab/>
        <w:t>previous financial year is tabled below: -</w:t>
      </w:r>
    </w:p>
    <w:p w:rsidR="009B3691" w:rsidRDefault="009B3691" w:rsidP="00FE3D53">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530"/>
        <w:gridCol w:w="1260"/>
        <w:gridCol w:w="1260"/>
      </w:tblGrid>
      <w:tr w:rsidR="00E71A65" w:rsidTr="003A7970">
        <w:trPr>
          <w:trHeight w:val="285"/>
        </w:trPr>
        <w:tc>
          <w:tcPr>
            <w:tcW w:w="3240" w:type="dxa"/>
            <w:vMerge w:val="restart"/>
            <w:shd w:val="clear" w:color="auto" w:fill="auto"/>
          </w:tcPr>
          <w:p w:rsidR="00E71A65" w:rsidRDefault="00E71A65" w:rsidP="00FE3D53">
            <w:r>
              <w:t>Description</w:t>
            </w:r>
          </w:p>
        </w:tc>
        <w:tc>
          <w:tcPr>
            <w:tcW w:w="1620" w:type="dxa"/>
            <w:vMerge w:val="restart"/>
            <w:shd w:val="clear" w:color="auto" w:fill="auto"/>
          </w:tcPr>
          <w:p w:rsidR="00E71A65" w:rsidRDefault="00A24F95" w:rsidP="00FE3D53">
            <w:r>
              <w:t>3rd</w:t>
            </w:r>
            <w:r w:rsidR="00E71A65">
              <w:t xml:space="preserve"> Qtr 201</w:t>
            </w:r>
            <w:r w:rsidR="00D94256">
              <w:t>5</w:t>
            </w:r>
          </w:p>
          <w:p w:rsidR="00E71A65" w:rsidRDefault="00E71A65" w:rsidP="00FE3D53">
            <w:r>
              <w:t xml:space="preserve">  RM’000</w:t>
            </w:r>
          </w:p>
        </w:tc>
        <w:tc>
          <w:tcPr>
            <w:tcW w:w="1530" w:type="dxa"/>
            <w:vMerge w:val="restart"/>
            <w:shd w:val="clear" w:color="auto" w:fill="auto"/>
          </w:tcPr>
          <w:p w:rsidR="00E71A65" w:rsidRDefault="00A24F95" w:rsidP="00FE3D53">
            <w:r>
              <w:t>3rd</w:t>
            </w:r>
            <w:r w:rsidR="00E71A65">
              <w:t xml:space="preserve"> Qtr 201</w:t>
            </w:r>
            <w:r w:rsidR="00D94256">
              <w:t>4</w:t>
            </w:r>
          </w:p>
          <w:p w:rsidR="00E71A65" w:rsidRDefault="00E71A65" w:rsidP="00FE3D53">
            <w:r>
              <w:t xml:space="preserve">   RM’000</w:t>
            </w:r>
          </w:p>
        </w:tc>
        <w:tc>
          <w:tcPr>
            <w:tcW w:w="2520" w:type="dxa"/>
            <w:gridSpan w:val="2"/>
            <w:shd w:val="clear" w:color="auto" w:fill="auto"/>
          </w:tcPr>
          <w:p w:rsidR="00E71A65" w:rsidRDefault="00E71A65" w:rsidP="00FE3D53">
            <w:r>
              <w:t xml:space="preserve">     Increase/(Decrease)</w:t>
            </w:r>
          </w:p>
        </w:tc>
      </w:tr>
      <w:tr w:rsidR="00E71A65" w:rsidTr="003A7970">
        <w:trPr>
          <w:trHeight w:val="285"/>
        </w:trPr>
        <w:tc>
          <w:tcPr>
            <w:tcW w:w="3240" w:type="dxa"/>
            <w:vMerge/>
            <w:shd w:val="clear" w:color="auto" w:fill="auto"/>
          </w:tcPr>
          <w:p w:rsidR="00E71A65" w:rsidRDefault="00E71A65" w:rsidP="00FE3D53"/>
        </w:tc>
        <w:tc>
          <w:tcPr>
            <w:tcW w:w="1620" w:type="dxa"/>
            <w:vMerge/>
            <w:shd w:val="clear" w:color="auto" w:fill="auto"/>
          </w:tcPr>
          <w:p w:rsidR="00E71A65" w:rsidRDefault="00E71A65" w:rsidP="00FE3D53"/>
        </w:tc>
        <w:tc>
          <w:tcPr>
            <w:tcW w:w="1530" w:type="dxa"/>
            <w:vMerge/>
            <w:shd w:val="clear" w:color="auto" w:fill="auto"/>
          </w:tcPr>
          <w:p w:rsidR="00E71A65" w:rsidRDefault="00E71A65" w:rsidP="00FE3D53"/>
        </w:tc>
        <w:tc>
          <w:tcPr>
            <w:tcW w:w="1260" w:type="dxa"/>
            <w:shd w:val="clear" w:color="auto" w:fill="auto"/>
          </w:tcPr>
          <w:p w:rsidR="00E71A65" w:rsidRDefault="00E71A65" w:rsidP="00FE3D53">
            <w:r>
              <w:t xml:space="preserve">RM’000 </w:t>
            </w:r>
          </w:p>
        </w:tc>
        <w:tc>
          <w:tcPr>
            <w:tcW w:w="1260" w:type="dxa"/>
            <w:shd w:val="clear" w:color="auto" w:fill="auto"/>
          </w:tcPr>
          <w:p w:rsidR="00E71A65" w:rsidRDefault="00E71A65" w:rsidP="00FE3D53">
            <w:r>
              <w:t xml:space="preserve">    %</w:t>
            </w:r>
          </w:p>
        </w:tc>
      </w:tr>
      <w:tr w:rsidR="00E71A65" w:rsidTr="003A7970">
        <w:trPr>
          <w:trHeight w:val="143"/>
        </w:trPr>
        <w:tc>
          <w:tcPr>
            <w:tcW w:w="3240" w:type="dxa"/>
            <w:shd w:val="clear" w:color="auto" w:fill="auto"/>
          </w:tcPr>
          <w:p w:rsidR="00E71A65" w:rsidRDefault="00E71A65" w:rsidP="00FE3D53">
            <w:r>
              <w:t>Revenue</w:t>
            </w:r>
          </w:p>
        </w:tc>
        <w:tc>
          <w:tcPr>
            <w:tcW w:w="1620" w:type="dxa"/>
            <w:shd w:val="clear" w:color="auto" w:fill="auto"/>
          </w:tcPr>
          <w:p w:rsidR="00E71A65" w:rsidRDefault="004D14B5" w:rsidP="00A24F95">
            <w:pPr>
              <w:jc w:val="center"/>
            </w:pPr>
            <w:r>
              <w:t>1</w:t>
            </w:r>
            <w:r w:rsidR="00A24F95">
              <w:t>44</w:t>
            </w:r>
            <w:r>
              <w:t>,</w:t>
            </w:r>
            <w:r w:rsidR="004151DD">
              <w:t>2</w:t>
            </w:r>
            <w:r w:rsidR="00A24F95">
              <w:t>49</w:t>
            </w:r>
          </w:p>
        </w:tc>
        <w:tc>
          <w:tcPr>
            <w:tcW w:w="1530" w:type="dxa"/>
            <w:shd w:val="clear" w:color="auto" w:fill="auto"/>
          </w:tcPr>
          <w:p w:rsidR="00E71A65" w:rsidRDefault="00A24F95" w:rsidP="00A24F95">
            <w:pPr>
              <w:jc w:val="center"/>
            </w:pPr>
            <w:r>
              <w:t>101</w:t>
            </w:r>
            <w:r w:rsidR="00E71A65">
              <w:t>,</w:t>
            </w:r>
            <w:r>
              <w:t>746</w:t>
            </w:r>
          </w:p>
        </w:tc>
        <w:tc>
          <w:tcPr>
            <w:tcW w:w="1260" w:type="dxa"/>
            <w:shd w:val="clear" w:color="auto" w:fill="auto"/>
          </w:tcPr>
          <w:p w:rsidR="00E71A65" w:rsidRDefault="004151DD" w:rsidP="00A24F95">
            <w:pPr>
              <w:jc w:val="center"/>
            </w:pPr>
            <w:r>
              <w:t>4</w:t>
            </w:r>
            <w:r w:rsidR="00A24F95">
              <w:t>2</w:t>
            </w:r>
            <w:r w:rsidR="00824246">
              <w:t>,</w:t>
            </w:r>
            <w:r w:rsidR="00A24F95">
              <w:t>503</w:t>
            </w:r>
          </w:p>
        </w:tc>
        <w:tc>
          <w:tcPr>
            <w:tcW w:w="1260" w:type="dxa"/>
            <w:shd w:val="clear" w:color="auto" w:fill="auto"/>
          </w:tcPr>
          <w:p w:rsidR="00E71A65" w:rsidRDefault="004151DD" w:rsidP="00A24F95">
            <w:pPr>
              <w:jc w:val="center"/>
            </w:pPr>
            <w:r>
              <w:t>4</w:t>
            </w:r>
            <w:r w:rsidR="00A24F95">
              <w:t>2</w:t>
            </w:r>
            <w:r w:rsidR="00824246">
              <w:t>%</w:t>
            </w:r>
          </w:p>
        </w:tc>
      </w:tr>
      <w:tr w:rsidR="00E71A65" w:rsidTr="003A7970">
        <w:trPr>
          <w:trHeight w:val="143"/>
        </w:trPr>
        <w:tc>
          <w:tcPr>
            <w:tcW w:w="3240" w:type="dxa"/>
            <w:shd w:val="clear" w:color="auto" w:fill="auto"/>
          </w:tcPr>
          <w:p w:rsidR="00E71A65" w:rsidRDefault="00E71A65" w:rsidP="00FE3D53">
            <w:r>
              <w:t>Profit before tax</w:t>
            </w:r>
          </w:p>
        </w:tc>
        <w:tc>
          <w:tcPr>
            <w:tcW w:w="1620" w:type="dxa"/>
            <w:shd w:val="clear" w:color="auto" w:fill="auto"/>
          </w:tcPr>
          <w:p w:rsidR="00E71A65" w:rsidRDefault="00E751CD" w:rsidP="00A24F95">
            <w:pPr>
              <w:jc w:val="center"/>
            </w:pPr>
            <w:r>
              <w:t xml:space="preserve">  </w:t>
            </w:r>
            <w:r w:rsidR="00770486">
              <w:t>1</w:t>
            </w:r>
            <w:r w:rsidR="00A24F95">
              <w:t>8</w:t>
            </w:r>
            <w:r w:rsidR="00824246">
              <w:t>,</w:t>
            </w:r>
            <w:r w:rsidR="00A24F95">
              <w:t>923</w:t>
            </w:r>
          </w:p>
        </w:tc>
        <w:tc>
          <w:tcPr>
            <w:tcW w:w="1530" w:type="dxa"/>
            <w:shd w:val="clear" w:color="auto" w:fill="auto"/>
          </w:tcPr>
          <w:p w:rsidR="00E71A65" w:rsidRDefault="004151DD" w:rsidP="00A24F95">
            <w:pPr>
              <w:jc w:val="center"/>
            </w:pPr>
            <w:r>
              <w:t xml:space="preserve"> </w:t>
            </w:r>
            <w:r w:rsidR="00A24F95">
              <w:t xml:space="preserve">   7</w:t>
            </w:r>
            <w:r w:rsidR="00E71A65">
              <w:t>,</w:t>
            </w:r>
            <w:r w:rsidR="00A24F95">
              <w:t>620</w:t>
            </w:r>
            <w:r w:rsidR="00E71A65">
              <w:t xml:space="preserve"> </w:t>
            </w:r>
          </w:p>
        </w:tc>
        <w:tc>
          <w:tcPr>
            <w:tcW w:w="1260" w:type="dxa"/>
            <w:shd w:val="clear" w:color="auto" w:fill="auto"/>
          </w:tcPr>
          <w:p w:rsidR="00E71A65" w:rsidRDefault="00A24F95" w:rsidP="00A24F95">
            <w:pPr>
              <w:jc w:val="center"/>
            </w:pPr>
            <w:r>
              <w:t>11</w:t>
            </w:r>
            <w:r w:rsidR="00B10FBB">
              <w:t>,</w:t>
            </w:r>
            <w:r>
              <w:t>303</w:t>
            </w:r>
          </w:p>
        </w:tc>
        <w:tc>
          <w:tcPr>
            <w:tcW w:w="1260" w:type="dxa"/>
            <w:shd w:val="clear" w:color="auto" w:fill="auto"/>
          </w:tcPr>
          <w:p w:rsidR="00E71A65" w:rsidRDefault="004151DD" w:rsidP="00A24F95">
            <w:pPr>
              <w:jc w:val="center"/>
            </w:pPr>
            <w:r>
              <w:t>1</w:t>
            </w:r>
            <w:r w:rsidR="00A24F95">
              <w:t>48</w:t>
            </w:r>
            <w:r w:rsidR="00824246">
              <w:t>%</w:t>
            </w:r>
          </w:p>
        </w:tc>
      </w:tr>
    </w:tbl>
    <w:p w:rsidR="009B3691" w:rsidRDefault="009B3691" w:rsidP="00FE3D53"/>
    <w:p w:rsidR="003F2BF4" w:rsidRDefault="009E65BC" w:rsidP="00021D16">
      <w:pPr>
        <w:ind w:left="720"/>
        <w:jc w:val="both"/>
      </w:pPr>
      <w:r>
        <w:t>T</w:t>
      </w:r>
      <w:r w:rsidR="00141407">
        <w:t xml:space="preserve">he </w:t>
      </w:r>
      <w:r w:rsidR="00C2479F">
        <w:t>Group</w:t>
      </w:r>
      <w:r w:rsidR="00B10FBB">
        <w:t>’s</w:t>
      </w:r>
      <w:r w:rsidR="00F10EF5">
        <w:t xml:space="preserve"> revenue </w:t>
      </w:r>
      <w:r w:rsidR="0098196B">
        <w:t xml:space="preserve">for third quarter 2015 registered at RM144 million, rose </w:t>
      </w:r>
      <w:r w:rsidR="00F10EF5">
        <w:t>4</w:t>
      </w:r>
      <w:r w:rsidR="0098196B">
        <w:t>2</w:t>
      </w:r>
      <w:r w:rsidR="00F10EF5">
        <w:t xml:space="preserve">% as compared to the corresponding quarter of </w:t>
      </w:r>
      <w:r w:rsidR="003643F8">
        <w:t xml:space="preserve">the </w:t>
      </w:r>
      <w:r w:rsidR="00F10EF5">
        <w:t>last year.</w:t>
      </w:r>
      <w:r w:rsidR="00B10FBB">
        <w:t xml:space="preserve"> </w:t>
      </w:r>
      <w:r w:rsidR="008E075D">
        <w:t>In</w:t>
      </w:r>
      <w:r w:rsidR="0098196B">
        <w:t xml:space="preserve"> the current quarter, the revenue from the bedding products continued to grow by 15% </w:t>
      </w:r>
      <w:r w:rsidR="00F10EF5">
        <w:t xml:space="preserve">coupled with the </w:t>
      </w:r>
      <w:r w:rsidR="00665EA1">
        <w:t>stre</w:t>
      </w:r>
      <w:r w:rsidR="001B4A5E">
        <w:t>ngthening of the US Dollar</w:t>
      </w:r>
      <w:r w:rsidR="00F10EF5">
        <w:t xml:space="preserve"> against</w:t>
      </w:r>
      <w:r w:rsidR="003F2BF4">
        <w:t xml:space="preserve"> RM</w:t>
      </w:r>
      <w:r w:rsidR="0098196B">
        <w:t xml:space="preserve"> by 26.50%</w:t>
      </w:r>
      <w:r w:rsidR="008E075D">
        <w:t xml:space="preserve"> that contributed to the overall increase of 42%</w:t>
      </w:r>
      <w:r w:rsidR="003F2BF4">
        <w:t xml:space="preserve">. The </w:t>
      </w:r>
      <w:r w:rsidR="0098196B">
        <w:t xml:space="preserve">average </w:t>
      </w:r>
      <w:r w:rsidR="003F2BF4">
        <w:t xml:space="preserve">USD </w:t>
      </w:r>
      <w:r w:rsidR="0098196B">
        <w:t>in th</w:t>
      </w:r>
      <w:r w:rsidR="003F2BF4">
        <w:t xml:space="preserve">e current quarter </w:t>
      </w:r>
      <w:r w:rsidR="0098196B">
        <w:t xml:space="preserve">was at 4.01 </w:t>
      </w:r>
      <w:r w:rsidR="003F2BF4">
        <w:t>as compared to 2014</w:t>
      </w:r>
      <w:r w:rsidR="0098196B">
        <w:t xml:space="preserve"> of 3.17.</w:t>
      </w:r>
    </w:p>
    <w:p w:rsidR="004D14B5" w:rsidRDefault="001B4A5E" w:rsidP="00021D16">
      <w:pPr>
        <w:ind w:left="720"/>
        <w:jc w:val="both"/>
        <w:rPr>
          <w:sz w:val="16"/>
          <w:szCs w:val="16"/>
        </w:rPr>
      </w:pPr>
      <w:r>
        <w:rPr>
          <w:sz w:val="16"/>
          <w:szCs w:val="16"/>
        </w:rPr>
        <w:t xml:space="preserve"> </w:t>
      </w:r>
    </w:p>
    <w:p w:rsidR="00F630E5" w:rsidRDefault="002D657E" w:rsidP="002D657E">
      <w:pPr>
        <w:ind w:left="720"/>
        <w:jc w:val="both"/>
      </w:pPr>
      <w:r>
        <w:t>Due to higher revenue and better USD conversion rate, the Group’s p</w:t>
      </w:r>
      <w:r w:rsidR="00A851D5">
        <w:t>rofit before tax for the current quarter recorded at RM</w:t>
      </w:r>
      <w:r w:rsidR="001B4A5E">
        <w:t>1</w:t>
      </w:r>
      <w:r w:rsidR="00517058">
        <w:t>8</w:t>
      </w:r>
      <w:r w:rsidR="00A851D5">
        <w:t>.</w:t>
      </w:r>
      <w:r w:rsidR="00517058">
        <w:t>9</w:t>
      </w:r>
      <w:r w:rsidR="00A851D5">
        <w:t xml:space="preserve"> million, inc</w:t>
      </w:r>
      <w:r>
        <w:t xml:space="preserve">reased </w:t>
      </w:r>
      <w:r w:rsidR="003F2BF4">
        <w:t>1</w:t>
      </w:r>
      <w:r w:rsidR="00517058">
        <w:t>48</w:t>
      </w:r>
      <w:r>
        <w:t>% as compared to the profit before tax of RM</w:t>
      </w:r>
      <w:r w:rsidR="00517058">
        <w:t>7.6</w:t>
      </w:r>
      <w:r>
        <w:t xml:space="preserve"> million in the previous corresponding quarter.</w:t>
      </w:r>
      <w:r w:rsidR="009E65BC">
        <w:t xml:space="preserve"> </w:t>
      </w:r>
    </w:p>
    <w:p w:rsidR="003643F8" w:rsidRDefault="003643F8" w:rsidP="002D657E">
      <w:pPr>
        <w:ind w:left="720"/>
        <w:jc w:val="both"/>
      </w:pPr>
    </w:p>
    <w:p w:rsidR="00A851D5" w:rsidRDefault="00A851D5" w:rsidP="00021D16">
      <w:pPr>
        <w:jc w:val="both"/>
      </w:pPr>
    </w:p>
    <w:p w:rsidR="00084F76" w:rsidRDefault="00084F76" w:rsidP="00021D16">
      <w:pPr>
        <w:jc w:val="both"/>
      </w:pPr>
    </w:p>
    <w:p w:rsidR="009E69BF" w:rsidRPr="00037AE8" w:rsidRDefault="001D2019" w:rsidP="00037AE8">
      <w:pPr>
        <w:pStyle w:val="ListParagraph"/>
        <w:numPr>
          <w:ilvl w:val="0"/>
          <w:numId w:val="12"/>
        </w:numPr>
        <w:jc w:val="both"/>
        <w:rPr>
          <w:b/>
        </w:rPr>
      </w:pPr>
      <w:r w:rsidRPr="00037AE8">
        <w:rPr>
          <w:b/>
        </w:rPr>
        <w:t>Variation of Results Against Preceding Quarter</w:t>
      </w:r>
    </w:p>
    <w:p w:rsidR="009E69BF" w:rsidRDefault="00AA5A54" w:rsidP="006472B0">
      <w:pPr>
        <w:jc w:val="both"/>
        <w:rPr>
          <w:b/>
        </w:rPr>
      </w:pPr>
      <w:r>
        <w:rPr>
          <w:b/>
        </w:rPr>
        <w:tab/>
      </w:r>
    </w:p>
    <w:p w:rsidR="001D2019" w:rsidRDefault="001D2019" w:rsidP="006472B0">
      <w:pPr>
        <w:jc w:val="both"/>
        <w:rPr>
          <w:b/>
        </w:rPr>
      </w:pPr>
      <w:r>
        <w:rPr>
          <w:b/>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620"/>
        <w:gridCol w:w="1530"/>
        <w:gridCol w:w="1260"/>
        <w:gridCol w:w="1703"/>
      </w:tblGrid>
      <w:tr w:rsidR="001D2019" w:rsidRPr="003A7970" w:rsidTr="003A7970">
        <w:trPr>
          <w:trHeight w:val="143"/>
        </w:trPr>
        <w:tc>
          <w:tcPr>
            <w:tcW w:w="3330" w:type="dxa"/>
            <w:vMerge w:val="restart"/>
            <w:shd w:val="clear" w:color="auto" w:fill="auto"/>
          </w:tcPr>
          <w:p w:rsidR="001D2019" w:rsidRPr="003A7970" w:rsidRDefault="001D2019" w:rsidP="003A7970">
            <w:pPr>
              <w:jc w:val="both"/>
              <w:rPr>
                <w:bCs/>
              </w:rPr>
            </w:pPr>
            <w:r w:rsidRPr="003A7970">
              <w:rPr>
                <w:bCs/>
              </w:rPr>
              <w:t>Description</w:t>
            </w:r>
          </w:p>
        </w:tc>
        <w:tc>
          <w:tcPr>
            <w:tcW w:w="1620" w:type="dxa"/>
            <w:vMerge w:val="restart"/>
            <w:shd w:val="clear" w:color="auto" w:fill="auto"/>
          </w:tcPr>
          <w:p w:rsidR="001D2019" w:rsidRPr="003A7970" w:rsidRDefault="00170B4A" w:rsidP="003A7970">
            <w:pPr>
              <w:jc w:val="both"/>
              <w:rPr>
                <w:bCs/>
              </w:rPr>
            </w:pPr>
            <w:r>
              <w:rPr>
                <w:bCs/>
              </w:rPr>
              <w:t>3rd</w:t>
            </w:r>
            <w:r w:rsidR="002D657E">
              <w:rPr>
                <w:bCs/>
              </w:rPr>
              <w:t xml:space="preserve"> </w:t>
            </w:r>
            <w:r w:rsidR="001D2019" w:rsidRPr="003A7970">
              <w:rPr>
                <w:bCs/>
              </w:rPr>
              <w:t>Qtr 201</w:t>
            </w:r>
            <w:r w:rsidR="001B4A5E">
              <w:rPr>
                <w:bCs/>
              </w:rPr>
              <w:t>5</w:t>
            </w:r>
          </w:p>
          <w:p w:rsidR="001D2019" w:rsidRPr="003A7970" w:rsidRDefault="001D2019" w:rsidP="003A7970">
            <w:pPr>
              <w:jc w:val="both"/>
              <w:rPr>
                <w:b/>
              </w:rPr>
            </w:pPr>
            <w:r w:rsidRPr="003A7970">
              <w:rPr>
                <w:bCs/>
              </w:rPr>
              <w:t xml:space="preserve">    RM’000</w:t>
            </w:r>
          </w:p>
        </w:tc>
        <w:tc>
          <w:tcPr>
            <w:tcW w:w="1530" w:type="dxa"/>
            <w:vMerge w:val="restart"/>
            <w:shd w:val="clear" w:color="auto" w:fill="auto"/>
          </w:tcPr>
          <w:p w:rsidR="001D2019" w:rsidRPr="003A7970" w:rsidRDefault="00A24F95" w:rsidP="003A7970">
            <w:pPr>
              <w:jc w:val="both"/>
              <w:rPr>
                <w:bCs/>
              </w:rPr>
            </w:pPr>
            <w:r>
              <w:rPr>
                <w:bCs/>
              </w:rPr>
              <w:t>2</w:t>
            </w:r>
            <w:r w:rsidRPr="00A24F95">
              <w:rPr>
                <w:bCs/>
                <w:vertAlign w:val="superscript"/>
              </w:rPr>
              <w:t>nd</w:t>
            </w:r>
            <w:r>
              <w:rPr>
                <w:bCs/>
                <w:vertAlign w:val="superscript"/>
              </w:rPr>
              <w:t xml:space="preserve"> </w:t>
            </w:r>
            <w:r w:rsidR="004151DD">
              <w:rPr>
                <w:bCs/>
              </w:rPr>
              <w:t>Qtr</w:t>
            </w:r>
            <w:r w:rsidR="001D2019" w:rsidRPr="003A7970">
              <w:rPr>
                <w:bCs/>
              </w:rPr>
              <w:t xml:space="preserve"> 201</w:t>
            </w:r>
            <w:r w:rsidR="004151DD">
              <w:rPr>
                <w:bCs/>
              </w:rPr>
              <w:t>5</w:t>
            </w:r>
          </w:p>
          <w:p w:rsidR="001D2019" w:rsidRPr="003A7970" w:rsidRDefault="001D2019" w:rsidP="003A7970">
            <w:pPr>
              <w:jc w:val="both"/>
              <w:rPr>
                <w:b/>
              </w:rPr>
            </w:pPr>
            <w:r w:rsidRPr="003A7970">
              <w:rPr>
                <w:bCs/>
              </w:rPr>
              <w:t xml:space="preserve">   RM’000</w:t>
            </w:r>
          </w:p>
        </w:tc>
        <w:tc>
          <w:tcPr>
            <w:tcW w:w="2963" w:type="dxa"/>
            <w:gridSpan w:val="2"/>
            <w:shd w:val="clear" w:color="auto" w:fill="auto"/>
          </w:tcPr>
          <w:p w:rsidR="001D2019" w:rsidRPr="003A7970" w:rsidRDefault="001D2019" w:rsidP="003A7970">
            <w:pPr>
              <w:jc w:val="both"/>
              <w:rPr>
                <w:bCs/>
              </w:rPr>
            </w:pPr>
            <w:r w:rsidRPr="003A7970">
              <w:rPr>
                <w:b/>
              </w:rPr>
              <w:t xml:space="preserve">     </w:t>
            </w:r>
            <w:r w:rsidRPr="003A7970">
              <w:rPr>
                <w:bCs/>
              </w:rPr>
              <w:t>Increase/ (Decrease)</w:t>
            </w:r>
          </w:p>
        </w:tc>
      </w:tr>
      <w:tr w:rsidR="001D2019" w:rsidRPr="003A7970" w:rsidTr="003A7970">
        <w:trPr>
          <w:trHeight w:val="276"/>
        </w:trPr>
        <w:tc>
          <w:tcPr>
            <w:tcW w:w="3330" w:type="dxa"/>
            <w:vMerge/>
            <w:shd w:val="clear" w:color="auto" w:fill="auto"/>
          </w:tcPr>
          <w:p w:rsidR="001D2019" w:rsidRPr="003A7970" w:rsidRDefault="001D2019" w:rsidP="003A7970">
            <w:pPr>
              <w:jc w:val="both"/>
              <w:rPr>
                <w:b/>
              </w:rPr>
            </w:pPr>
          </w:p>
        </w:tc>
        <w:tc>
          <w:tcPr>
            <w:tcW w:w="1620" w:type="dxa"/>
            <w:vMerge/>
            <w:shd w:val="clear" w:color="auto" w:fill="auto"/>
          </w:tcPr>
          <w:p w:rsidR="001D2019" w:rsidRPr="003A7970" w:rsidRDefault="001D2019" w:rsidP="003A7970">
            <w:pPr>
              <w:jc w:val="both"/>
              <w:rPr>
                <w:b/>
              </w:rPr>
            </w:pPr>
          </w:p>
        </w:tc>
        <w:tc>
          <w:tcPr>
            <w:tcW w:w="1530" w:type="dxa"/>
            <w:vMerge/>
            <w:shd w:val="clear" w:color="auto" w:fill="auto"/>
          </w:tcPr>
          <w:p w:rsidR="001D2019" w:rsidRPr="003A7970" w:rsidRDefault="001D2019" w:rsidP="003A7970">
            <w:pPr>
              <w:jc w:val="both"/>
              <w:rPr>
                <w:bCs/>
              </w:rPr>
            </w:pPr>
          </w:p>
        </w:tc>
        <w:tc>
          <w:tcPr>
            <w:tcW w:w="1260" w:type="dxa"/>
            <w:shd w:val="clear" w:color="auto" w:fill="auto"/>
          </w:tcPr>
          <w:p w:rsidR="001D2019" w:rsidRPr="003A7970" w:rsidRDefault="001D2019" w:rsidP="003A7970">
            <w:pPr>
              <w:jc w:val="both"/>
              <w:rPr>
                <w:bCs/>
              </w:rPr>
            </w:pPr>
            <w:r w:rsidRPr="003A7970">
              <w:rPr>
                <w:bCs/>
              </w:rPr>
              <w:t>RM’000</w:t>
            </w:r>
          </w:p>
        </w:tc>
        <w:tc>
          <w:tcPr>
            <w:tcW w:w="1703" w:type="dxa"/>
            <w:shd w:val="clear" w:color="auto" w:fill="auto"/>
          </w:tcPr>
          <w:p w:rsidR="001D2019" w:rsidRPr="003A7970" w:rsidRDefault="001D2019" w:rsidP="003A7970">
            <w:pPr>
              <w:jc w:val="both"/>
              <w:rPr>
                <w:bCs/>
              </w:rPr>
            </w:pPr>
            <w:r w:rsidRPr="003A7970">
              <w:rPr>
                <w:bCs/>
              </w:rPr>
              <w:t xml:space="preserve">      %</w:t>
            </w:r>
          </w:p>
        </w:tc>
      </w:tr>
      <w:tr w:rsidR="001D2019" w:rsidRPr="003A7970" w:rsidTr="003A7970">
        <w:tc>
          <w:tcPr>
            <w:tcW w:w="3330" w:type="dxa"/>
            <w:shd w:val="clear" w:color="auto" w:fill="auto"/>
          </w:tcPr>
          <w:p w:rsidR="001D2019" w:rsidRPr="003A7970" w:rsidRDefault="001D2019" w:rsidP="003A7970">
            <w:pPr>
              <w:jc w:val="both"/>
              <w:rPr>
                <w:bCs/>
              </w:rPr>
            </w:pPr>
            <w:r w:rsidRPr="003A7970">
              <w:rPr>
                <w:bCs/>
              </w:rPr>
              <w:t>Revenue</w:t>
            </w:r>
          </w:p>
        </w:tc>
        <w:tc>
          <w:tcPr>
            <w:tcW w:w="1620" w:type="dxa"/>
            <w:shd w:val="clear" w:color="auto" w:fill="auto"/>
          </w:tcPr>
          <w:p w:rsidR="001D2019" w:rsidRPr="003A7970" w:rsidRDefault="00E80BB0" w:rsidP="00A24F95">
            <w:pPr>
              <w:jc w:val="both"/>
              <w:rPr>
                <w:bCs/>
              </w:rPr>
            </w:pPr>
            <w:r>
              <w:rPr>
                <w:bCs/>
              </w:rPr>
              <w:t xml:space="preserve">   </w:t>
            </w:r>
            <w:r w:rsidR="00A851D5">
              <w:rPr>
                <w:bCs/>
              </w:rPr>
              <w:t>1</w:t>
            </w:r>
            <w:r w:rsidR="00A24F95">
              <w:rPr>
                <w:bCs/>
              </w:rPr>
              <w:t>44</w:t>
            </w:r>
            <w:r>
              <w:rPr>
                <w:bCs/>
              </w:rPr>
              <w:t>,</w:t>
            </w:r>
            <w:r w:rsidR="00A24F95">
              <w:rPr>
                <w:bCs/>
              </w:rPr>
              <w:t>249</w:t>
            </w:r>
          </w:p>
        </w:tc>
        <w:tc>
          <w:tcPr>
            <w:tcW w:w="1530" w:type="dxa"/>
            <w:shd w:val="clear" w:color="auto" w:fill="auto"/>
          </w:tcPr>
          <w:p w:rsidR="001D2019" w:rsidRPr="003A7970" w:rsidRDefault="00E03CB5" w:rsidP="00A24F95">
            <w:pPr>
              <w:jc w:val="both"/>
              <w:rPr>
                <w:bCs/>
              </w:rPr>
            </w:pPr>
            <w:r w:rsidRPr="003A7970">
              <w:rPr>
                <w:bCs/>
              </w:rPr>
              <w:t xml:space="preserve">    </w:t>
            </w:r>
            <w:r w:rsidR="002D657E">
              <w:rPr>
                <w:bCs/>
              </w:rPr>
              <w:t>1</w:t>
            </w:r>
            <w:r w:rsidR="00A24F95">
              <w:rPr>
                <w:bCs/>
              </w:rPr>
              <w:t>38</w:t>
            </w:r>
            <w:r w:rsidRPr="003A7970">
              <w:rPr>
                <w:bCs/>
              </w:rPr>
              <w:t>,</w:t>
            </w:r>
            <w:r w:rsidR="00A24F95">
              <w:rPr>
                <w:bCs/>
              </w:rPr>
              <w:t>275</w:t>
            </w:r>
            <w:r w:rsidRPr="003A7970">
              <w:rPr>
                <w:bCs/>
              </w:rPr>
              <w:t xml:space="preserve"> </w:t>
            </w:r>
          </w:p>
        </w:tc>
        <w:tc>
          <w:tcPr>
            <w:tcW w:w="1260" w:type="dxa"/>
            <w:shd w:val="clear" w:color="auto" w:fill="auto"/>
          </w:tcPr>
          <w:p w:rsidR="001D2019" w:rsidRPr="003A7970" w:rsidRDefault="00E80BB0" w:rsidP="00170B4A">
            <w:pPr>
              <w:jc w:val="both"/>
              <w:rPr>
                <w:bCs/>
              </w:rPr>
            </w:pPr>
            <w:r>
              <w:rPr>
                <w:bCs/>
              </w:rPr>
              <w:t xml:space="preserve"> </w:t>
            </w:r>
            <w:r w:rsidR="00E751CD">
              <w:rPr>
                <w:bCs/>
              </w:rPr>
              <w:t xml:space="preserve">   </w:t>
            </w:r>
            <w:r w:rsidR="00170B4A">
              <w:rPr>
                <w:bCs/>
              </w:rPr>
              <w:t xml:space="preserve">  5</w:t>
            </w:r>
            <w:r>
              <w:rPr>
                <w:bCs/>
              </w:rPr>
              <w:t>,</w:t>
            </w:r>
            <w:r w:rsidR="00170B4A">
              <w:rPr>
                <w:bCs/>
              </w:rPr>
              <w:t>974</w:t>
            </w:r>
          </w:p>
        </w:tc>
        <w:tc>
          <w:tcPr>
            <w:tcW w:w="1703" w:type="dxa"/>
            <w:shd w:val="clear" w:color="auto" w:fill="auto"/>
          </w:tcPr>
          <w:p w:rsidR="001D2019" w:rsidRPr="003A7970" w:rsidRDefault="00E80BB0" w:rsidP="00170B4A">
            <w:pPr>
              <w:spacing w:line="360" w:lineRule="auto"/>
              <w:jc w:val="both"/>
              <w:rPr>
                <w:bCs/>
              </w:rPr>
            </w:pPr>
            <w:r>
              <w:rPr>
                <w:bCs/>
              </w:rPr>
              <w:t xml:space="preserve">     </w:t>
            </w:r>
            <w:r w:rsidR="00170B4A">
              <w:rPr>
                <w:bCs/>
              </w:rPr>
              <w:t xml:space="preserve">  4</w:t>
            </w:r>
            <w:r>
              <w:rPr>
                <w:bCs/>
              </w:rPr>
              <w:t>%</w:t>
            </w:r>
          </w:p>
        </w:tc>
      </w:tr>
      <w:tr w:rsidR="001D2019" w:rsidRPr="003A7970" w:rsidTr="003A7970">
        <w:tc>
          <w:tcPr>
            <w:tcW w:w="3330" w:type="dxa"/>
            <w:shd w:val="clear" w:color="auto" w:fill="auto"/>
          </w:tcPr>
          <w:p w:rsidR="001D2019" w:rsidRPr="003A7970" w:rsidRDefault="001D2019" w:rsidP="003A7970">
            <w:pPr>
              <w:jc w:val="both"/>
              <w:rPr>
                <w:bCs/>
              </w:rPr>
            </w:pPr>
            <w:r w:rsidRPr="003A7970">
              <w:rPr>
                <w:bCs/>
              </w:rPr>
              <w:t>Profit before tax</w:t>
            </w:r>
          </w:p>
        </w:tc>
        <w:tc>
          <w:tcPr>
            <w:tcW w:w="1620" w:type="dxa"/>
            <w:shd w:val="clear" w:color="auto" w:fill="auto"/>
          </w:tcPr>
          <w:p w:rsidR="001D2019" w:rsidRPr="003A7970" w:rsidRDefault="00E80BB0" w:rsidP="00A24F95">
            <w:pPr>
              <w:jc w:val="both"/>
              <w:rPr>
                <w:bCs/>
              </w:rPr>
            </w:pPr>
            <w:r>
              <w:rPr>
                <w:bCs/>
              </w:rPr>
              <w:t xml:space="preserve">    </w:t>
            </w:r>
            <w:r w:rsidR="00E751CD">
              <w:rPr>
                <w:bCs/>
              </w:rPr>
              <w:t xml:space="preserve"> </w:t>
            </w:r>
            <w:r w:rsidR="001B4A5E">
              <w:rPr>
                <w:bCs/>
              </w:rPr>
              <w:t>1</w:t>
            </w:r>
            <w:r w:rsidR="00A24F95">
              <w:rPr>
                <w:bCs/>
              </w:rPr>
              <w:t>8</w:t>
            </w:r>
            <w:r w:rsidR="001B4A5E">
              <w:rPr>
                <w:bCs/>
              </w:rPr>
              <w:t>,</w:t>
            </w:r>
            <w:r w:rsidR="00A24F95">
              <w:rPr>
                <w:bCs/>
              </w:rPr>
              <w:t>923</w:t>
            </w:r>
          </w:p>
        </w:tc>
        <w:tc>
          <w:tcPr>
            <w:tcW w:w="1530" w:type="dxa"/>
            <w:shd w:val="clear" w:color="auto" w:fill="auto"/>
          </w:tcPr>
          <w:p w:rsidR="001D2019" w:rsidRPr="003A7970" w:rsidRDefault="00E03CB5" w:rsidP="00A24F95">
            <w:pPr>
              <w:jc w:val="both"/>
              <w:rPr>
                <w:bCs/>
              </w:rPr>
            </w:pPr>
            <w:r w:rsidRPr="003A7970">
              <w:rPr>
                <w:bCs/>
              </w:rPr>
              <w:t xml:space="preserve">    </w:t>
            </w:r>
            <w:r w:rsidR="00A851D5">
              <w:rPr>
                <w:bCs/>
              </w:rPr>
              <w:t xml:space="preserve"> </w:t>
            </w:r>
            <w:r w:rsidR="001B4A5E">
              <w:rPr>
                <w:bCs/>
              </w:rPr>
              <w:t xml:space="preserve"> </w:t>
            </w:r>
            <w:r w:rsidR="004151DD">
              <w:rPr>
                <w:bCs/>
              </w:rPr>
              <w:t>1</w:t>
            </w:r>
            <w:r w:rsidR="00A24F95">
              <w:rPr>
                <w:bCs/>
              </w:rPr>
              <w:t>7</w:t>
            </w:r>
            <w:r w:rsidRPr="003A7970">
              <w:rPr>
                <w:bCs/>
              </w:rPr>
              <w:t>,</w:t>
            </w:r>
            <w:r w:rsidR="00A24F95">
              <w:rPr>
                <w:bCs/>
              </w:rPr>
              <w:t>456</w:t>
            </w:r>
          </w:p>
        </w:tc>
        <w:tc>
          <w:tcPr>
            <w:tcW w:w="1260" w:type="dxa"/>
            <w:shd w:val="clear" w:color="auto" w:fill="auto"/>
          </w:tcPr>
          <w:p w:rsidR="001D2019" w:rsidRPr="003A7970" w:rsidRDefault="00E80BB0" w:rsidP="00A24F95">
            <w:pPr>
              <w:jc w:val="both"/>
              <w:rPr>
                <w:bCs/>
              </w:rPr>
            </w:pPr>
            <w:r>
              <w:rPr>
                <w:bCs/>
              </w:rPr>
              <w:t xml:space="preserve">   </w:t>
            </w:r>
            <w:r w:rsidR="00E751CD">
              <w:rPr>
                <w:bCs/>
              </w:rPr>
              <w:t xml:space="preserve"> </w:t>
            </w:r>
            <w:r w:rsidR="004151DD">
              <w:rPr>
                <w:bCs/>
              </w:rPr>
              <w:t xml:space="preserve">  </w:t>
            </w:r>
            <w:r w:rsidR="00A24F95">
              <w:rPr>
                <w:bCs/>
              </w:rPr>
              <w:t>1</w:t>
            </w:r>
            <w:r w:rsidR="001B4A5E">
              <w:rPr>
                <w:bCs/>
              </w:rPr>
              <w:t>,</w:t>
            </w:r>
            <w:r w:rsidR="00A24F95">
              <w:rPr>
                <w:bCs/>
              </w:rPr>
              <w:t>467</w:t>
            </w:r>
          </w:p>
        </w:tc>
        <w:tc>
          <w:tcPr>
            <w:tcW w:w="1703" w:type="dxa"/>
            <w:shd w:val="clear" w:color="auto" w:fill="auto"/>
          </w:tcPr>
          <w:p w:rsidR="001D2019" w:rsidRPr="003A7970" w:rsidRDefault="00E80BB0" w:rsidP="00170B4A">
            <w:pPr>
              <w:jc w:val="both"/>
              <w:rPr>
                <w:bCs/>
              </w:rPr>
            </w:pPr>
            <w:r>
              <w:rPr>
                <w:bCs/>
              </w:rPr>
              <w:t xml:space="preserve">  </w:t>
            </w:r>
            <w:r w:rsidR="004D69A4">
              <w:rPr>
                <w:bCs/>
              </w:rPr>
              <w:t xml:space="preserve">  </w:t>
            </w:r>
            <w:r w:rsidR="004151DD">
              <w:rPr>
                <w:bCs/>
              </w:rPr>
              <w:t xml:space="preserve"> </w:t>
            </w:r>
            <w:r w:rsidR="00170B4A">
              <w:rPr>
                <w:bCs/>
              </w:rPr>
              <w:t xml:space="preserve">  8</w:t>
            </w:r>
            <w:r>
              <w:rPr>
                <w:bCs/>
              </w:rPr>
              <w:t>%</w:t>
            </w:r>
          </w:p>
        </w:tc>
      </w:tr>
    </w:tbl>
    <w:p w:rsidR="001D2019" w:rsidRDefault="001D2019" w:rsidP="006472B0">
      <w:pPr>
        <w:jc w:val="both"/>
        <w:rPr>
          <w:b/>
        </w:rPr>
      </w:pPr>
      <w:r>
        <w:rPr>
          <w:b/>
        </w:rPr>
        <w:tab/>
      </w:r>
    </w:p>
    <w:p w:rsidR="003643F8" w:rsidRPr="00AA5A54" w:rsidRDefault="003643F8" w:rsidP="006472B0">
      <w:pPr>
        <w:jc w:val="both"/>
      </w:pPr>
    </w:p>
    <w:p w:rsidR="00F20069" w:rsidRDefault="00DD54DB" w:rsidP="00466B03">
      <w:pPr>
        <w:pStyle w:val="BodyTextIndent"/>
      </w:pPr>
      <w:r>
        <w:t xml:space="preserve">Revenue for the current quarter </w:t>
      </w:r>
      <w:r w:rsidR="00517058">
        <w:t xml:space="preserve">decreased 3.6% </w:t>
      </w:r>
      <w:r w:rsidR="003F2BF4">
        <w:t xml:space="preserve">as </w:t>
      </w:r>
      <w:r w:rsidR="00466B03">
        <w:t>compared to the immediate preceding quarter</w:t>
      </w:r>
      <w:r w:rsidR="0044587A">
        <w:t>.</w:t>
      </w:r>
      <w:r w:rsidR="001B4A5E">
        <w:t xml:space="preserve"> </w:t>
      </w:r>
      <w:r w:rsidR="00F20069">
        <w:t xml:space="preserve">However the appreciation of USD against RM by 9%, the Group’s revenue </w:t>
      </w:r>
      <w:r w:rsidR="00692B7D">
        <w:t xml:space="preserve">still </w:t>
      </w:r>
      <w:r w:rsidR="00F20069">
        <w:t>recorded growth of 4% in the current quarter.</w:t>
      </w:r>
    </w:p>
    <w:p w:rsidR="00466B03" w:rsidRDefault="00466B03" w:rsidP="00466B03">
      <w:pPr>
        <w:pStyle w:val="BodyTextIndent"/>
      </w:pPr>
      <w:r>
        <w:t xml:space="preserve"> </w:t>
      </w:r>
    </w:p>
    <w:p w:rsidR="008239C3" w:rsidRDefault="00366C58" w:rsidP="002A6839">
      <w:pPr>
        <w:pStyle w:val="BodyTextIndent"/>
      </w:pPr>
      <w:r>
        <w:t>In the current quarter,</w:t>
      </w:r>
      <w:r w:rsidR="00825B17">
        <w:t xml:space="preserve"> the </w:t>
      </w:r>
      <w:r w:rsidR="00425622">
        <w:t xml:space="preserve">Group’s profit before tax increased </w:t>
      </w:r>
      <w:r w:rsidR="00510E9F">
        <w:t>8</w:t>
      </w:r>
      <w:r w:rsidR="00425622">
        <w:t>% compared to the immediate pr</w:t>
      </w:r>
      <w:r w:rsidR="0099240D">
        <w:t>eceding quarter</w:t>
      </w:r>
      <w:r w:rsidR="00B1754C">
        <w:t xml:space="preserve">. </w:t>
      </w:r>
    </w:p>
    <w:p w:rsidR="00B13DF3" w:rsidRDefault="00B13DF3" w:rsidP="002A6839">
      <w:pPr>
        <w:pStyle w:val="BodyTextIndent"/>
      </w:pPr>
    </w:p>
    <w:p w:rsidR="00425622" w:rsidRDefault="00425622" w:rsidP="002A6839">
      <w:pPr>
        <w:pStyle w:val="BodyTextIndent"/>
      </w:pPr>
    </w:p>
    <w:p w:rsidR="00B13DF3" w:rsidRDefault="00B13DF3" w:rsidP="002A6839">
      <w:pPr>
        <w:pStyle w:val="BodyTextIndent"/>
      </w:pPr>
    </w:p>
    <w:p w:rsidR="00B13DF3" w:rsidRDefault="00B13DF3" w:rsidP="002A6839">
      <w:pPr>
        <w:pStyle w:val="BodyTextIndent"/>
      </w:pPr>
    </w:p>
    <w:p w:rsidR="00B13DF3" w:rsidRDefault="00B13DF3" w:rsidP="002A6839">
      <w:pPr>
        <w:pStyle w:val="BodyTextIndent"/>
      </w:pPr>
    </w:p>
    <w:p w:rsidR="00D94256" w:rsidRDefault="00D94256" w:rsidP="002A6839">
      <w:pPr>
        <w:pStyle w:val="BodyTextIndent"/>
      </w:pPr>
    </w:p>
    <w:p w:rsidR="00E35F2C" w:rsidRDefault="00E35F2C" w:rsidP="002A6839">
      <w:pPr>
        <w:pStyle w:val="BodyTextIndent"/>
      </w:pPr>
    </w:p>
    <w:p w:rsidR="00E35F2C" w:rsidRDefault="00E35F2C" w:rsidP="002A6839">
      <w:pPr>
        <w:pStyle w:val="BodyTextIndent"/>
      </w:pPr>
    </w:p>
    <w:p w:rsidR="00E35F2C" w:rsidRDefault="00E35F2C" w:rsidP="002A6839">
      <w:pPr>
        <w:pStyle w:val="BodyTextIndent"/>
      </w:pPr>
    </w:p>
    <w:p w:rsidR="00366C58" w:rsidRDefault="00366C58" w:rsidP="00BE648E">
      <w:pPr>
        <w:pStyle w:val="BodyTextIndent"/>
        <w:ind w:left="0" w:hanging="90"/>
      </w:pPr>
    </w:p>
    <w:p w:rsidR="005D48DD" w:rsidRDefault="00BE648E" w:rsidP="00BE648E">
      <w:pPr>
        <w:pStyle w:val="BodyTextIndent"/>
        <w:ind w:left="0" w:hanging="90"/>
      </w:pPr>
      <w:r>
        <w:t>-continue</w:t>
      </w:r>
      <w:r w:rsidR="005C5597">
        <w:t>d</w:t>
      </w:r>
    </w:p>
    <w:p w:rsidR="006B02F0" w:rsidRDefault="006B02F0" w:rsidP="00BE648E">
      <w:pPr>
        <w:pStyle w:val="BodyTextIndent"/>
        <w:ind w:left="0" w:hanging="90"/>
      </w:pPr>
    </w:p>
    <w:p w:rsidR="000F350D" w:rsidRDefault="000F350D" w:rsidP="00BE648E">
      <w:pPr>
        <w:pStyle w:val="BodyTextIndent"/>
        <w:ind w:left="0" w:hanging="90"/>
      </w:pPr>
    </w:p>
    <w:p w:rsidR="009E69BF" w:rsidRDefault="009E69BF">
      <w:pPr>
        <w:jc w:val="both"/>
      </w:pPr>
      <w:r>
        <w:t>1</w:t>
      </w:r>
      <w:r w:rsidR="00A92F06">
        <w:t>8</w:t>
      </w:r>
      <w:r>
        <w:t xml:space="preserve">.      </w:t>
      </w:r>
      <w:r>
        <w:rPr>
          <w:b/>
        </w:rPr>
        <w:t>Current year prospects</w:t>
      </w:r>
    </w:p>
    <w:p w:rsidR="009E69BF" w:rsidRDefault="009E69BF">
      <w:pPr>
        <w:jc w:val="both"/>
      </w:pPr>
      <w:r>
        <w:t xml:space="preserve">            </w:t>
      </w:r>
    </w:p>
    <w:p w:rsidR="00003567" w:rsidRDefault="00D86563" w:rsidP="00F53C28">
      <w:pPr>
        <w:ind w:left="720"/>
        <w:jc w:val="both"/>
      </w:pPr>
      <w:r>
        <w:t>The US</w:t>
      </w:r>
      <w:r w:rsidR="000C7DF7">
        <w:t xml:space="preserve"> </w:t>
      </w:r>
      <w:r w:rsidR="005901FD">
        <w:t xml:space="preserve">economic and employment data continue to improve, signalling strong growth momentum ahead. </w:t>
      </w:r>
      <w:r w:rsidR="00795E5A">
        <w:t xml:space="preserve">The positive market sentiment in US and the strengthening of USD dollar against RM will continue to enhance the Group’s operation and earnings.  </w:t>
      </w:r>
      <w:r w:rsidR="005901FD">
        <w:t xml:space="preserve"> </w:t>
      </w:r>
    </w:p>
    <w:p w:rsidR="00D86563" w:rsidRDefault="00D86563" w:rsidP="00F53C28">
      <w:pPr>
        <w:ind w:left="720"/>
        <w:jc w:val="both"/>
      </w:pPr>
    </w:p>
    <w:p w:rsidR="003B10AE" w:rsidRDefault="00D86563" w:rsidP="004032B6">
      <w:pPr>
        <w:ind w:left="720"/>
        <w:jc w:val="both"/>
      </w:pPr>
      <w:r>
        <w:t>T</w:t>
      </w:r>
      <w:r w:rsidR="00EF694D">
        <w:t xml:space="preserve">he </w:t>
      </w:r>
      <w:r w:rsidR="00B214D6">
        <w:t xml:space="preserve">main challenges that the Group faced </w:t>
      </w:r>
      <w:r w:rsidR="00F07A24">
        <w:t>is at</w:t>
      </w:r>
      <w:r w:rsidR="00B214D6">
        <w:t xml:space="preserve"> the local front </w:t>
      </w:r>
      <w:r w:rsidR="00084F76">
        <w:t>where t</w:t>
      </w:r>
      <w:r w:rsidR="004768AF">
        <w:t>he acceleration of production costs and shortage</w:t>
      </w:r>
      <w:r w:rsidR="00F07A24">
        <w:t>s</w:t>
      </w:r>
      <w:r w:rsidR="004768AF">
        <w:t xml:space="preserve"> of workforce will continue to affect the Group’s financial performance. In view of that, the </w:t>
      </w:r>
      <w:r w:rsidR="00906125">
        <w:t>management</w:t>
      </w:r>
      <w:r w:rsidR="00EF694D">
        <w:t xml:space="preserve"> </w:t>
      </w:r>
      <w:r w:rsidR="00906125">
        <w:t xml:space="preserve">will continue to focus on the Group’s core products to strengthen the market position and expand the customer base and </w:t>
      </w:r>
      <w:r w:rsidR="002C10FB">
        <w:t xml:space="preserve">simultaneously </w:t>
      </w:r>
      <w:r w:rsidR="00906125">
        <w:t xml:space="preserve">continue to adopt </w:t>
      </w:r>
      <w:r w:rsidR="002C10FB">
        <w:t xml:space="preserve">an </w:t>
      </w:r>
      <w:r w:rsidR="00906125">
        <w:t xml:space="preserve">effective cost management. </w:t>
      </w:r>
      <w:r w:rsidR="002C10FB">
        <w:t>With better controllable cost structure and wider sales market base, t</w:t>
      </w:r>
      <w:r w:rsidR="00906125">
        <w:t xml:space="preserve">he Group </w:t>
      </w:r>
      <w:r w:rsidR="00BD3733">
        <w:t xml:space="preserve">is </w:t>
      </w:r>
      <w:r w:rsidR="000A03C3">
        <w:t>confident to deliver a</w:t>
      </w:r>
      <w:r w:rsidR="00AB2FCB">
        <w:t xml:space="preserve"> favourable</w:t>
      </w:r>
      <w:r w:rsidR="000A03C3">
        <w:t xml:space="preserve"> </w:t>
      </w:r>
      <w:r w:rsidR="00EF694D">
        <w:t xml:space="preserve">result for the </w:t>
      </w:r>
      <w:r w:rsidR="000A03C3">
        <w:t xml:space="preserve">remaining </w:t>
      </w:r>
      <w:r w:rsidR="00084F76">
        <w:t>y</w:t>
      </w:r>
      <w:r w:rsidR="004032B6">
        <w:t>ear</w:t>
      </w:r>
      <w:r w:rsidR="00F07A24">
        <w:t xml:space="preserve"> of </w:t>
      </w:r>
      <w:r w:rsidR="004032B6">
        <w:t>201</w:t>
      </w:r>
      <w:r w:rsidR="00084F76">
        <w:t>5</w:t>
      </w:r>
      <w:r w:rsidR="00EF694D">
        <w:t>.</w:t>
      </w:r>
    </w:p>
    <w:p w:rsidR="00F16A50" w:rsidRDefault="00F16A50">
      <w:pPr>
        <w:ind w:left="720"/>
        <w:jc w:val="both"/>
      </w:pPr>
    </w:p>
    <w:p w:rsidR="00E35F2C" w:rsidRDefault="00E35F2C">
      <w:pPr>
        <w:ind w:left="720"/>
        <w:jc w:val="both"/>
      </w:pPr>
    </w:p>
    <w:p w:rsidR="009E69BF" w:rsidRDefault="009E69BF">
      <w:pPr>
        <w:jc w:val="both"/>
      </w:pPr>
      <w:r>
        <w:t>1</w:t>
      </w:r>
      <w:r w:rsidR="00A92F06">
        <w:t>9</w:t>
      </w:r>
      <w:r>
        <w:t xml:space="preserve">.       </w:t>
      </w:r>
      <w:r>
        <w:rPr>
          <w:b/>
        </w:rPr>
        <w:t>Profit forecast</w:t>
      </w:r>
    </w:p>
    <w:p w:rsidR="009E69BF" w:rsidRDefault="009E69BF">
      <w:pPr>
        <w:jc w:val="both"/>
      </w:pPr>
      <w:r>
        <w:t xml:space="preserve">             </w:t>
      </w:r>
    </w:p>
    <w:p w:rsidR="009E69BF" w:rsidRDefault="009E69BF">
      <w:pPr>
        <w:ind w:firstLine="720"/>
        <w:jc w:val="both"/>
      </w:pPr>
      <w:r>
        <w:t>There was no profit forecast issued for the quarter under review.</w:t>
      </w:r>
    </w:p>
    <w:p w:rsidR="002A6839" w:rsidRDefault="002A6839">
      <w:pPr>
        <w:jc w:val="both"/>
      </w:pPr>
    </w:p>
    <w:p w:rsidR="00E35F2C" w:rsidRDefault="00E35F2C">
      <w:pPr>
        <w:jc w:val="both"/>
      </w:pPr>
    </w:p>
    <w:p w:rsidR="009E69BF" w:rsidRDefault="00A92F06">
      <w:pPr>
        <w:jc w:val="both"/>
      </w:pPr>
      <w:r>
        <w:t>20</w:t>
      </w:r>
      <w:r w:rsidR="009E69BF">
        <w:t xml:space="preserve">.       </w:t>
      </w:r>
      <w:r w:rsidR="009E69BF">
        <w:rPr>
          <w:b/>
        </w:rPr>
        <w:t>Taxation</w:t>
      </w:r>
    </w:p>
    <w:p w:rsidR="009E69BF" w:rsidRDefault="009E69BF">
      <w:pPr>
        <w:jc w:val="both"/>
      </w:pPr>
    </w:p>
    <w:p w:rsidR="000F350D" w:rsidRDefault="000F350D">
      <w:pPr>
        <w:jc w:val="both"/>
      </w:pPr>
    </w:p>
    <w:p w:rsidR="0035108F" w:rsidRDefault="009E69BF">
      <w:pPr>
        <w:jc w:val="both"/>
      </w:pPr>
      <w:r>
        <w:t xml:space="preserve">            Taxation charged for the quarter and year to date comprise of:</w:t>
      </w:r>
      <w:r w:rsidR="0035108F">
        <w:t xml:space="preserve"> </w:t>
      </w:r>
      <w:r>
        <w:t xml:space="preserve">-   </w:t>
      </w:r>
    </w:p>
    <w:p w:rsidR="0035108F" w:rsidRDefault="0035108F">
      <w:pPr>
        <w:jc w:val="both"/>
      </w:pPr>
      <w:r>
        <w:tab/>
      </w: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90"/>
        <w:gridCol w:w="1980"/>
      </w:tblGrid>
      <w:tr w:rsidR="0035108F" w:rsidTr="003A7970">
        <w:tc>
          <w:tcPr>
            <w:tcW w:w="3780" w:type="dxa"/>
            <w:shd w:val="clear" w:color="auto" w:fill="auto"/>
          </w:tcPr>
          <w:p w:rsidR="0035108F" w:rsidRDefault="0035108F" w:rsidP="003A7970">
            <w:pPr>
              <w:jc w:val="both"/>
            </w:pPr>
          </w:p>
        </w:tc>
        <w:tc>
          <w:tcPr>
            <w:tcW w:w="1890" w:type="dxa"/>
            <w:shd w:val="clear" w:color="auto" w:fill="auto"/>
          </w:tcPr>
          <w:p w:rsidR="0035108F" w:rsidRDefault="0035108F" w:rsidP="003A7970">
            <w:pPr>
              <w:jc w:val="center"/>
            </w:pPr>
            <w:r>
              <w:t>Current Quarter</w:t>
            </w:r>
          </w:p>
          <w:p w:rsidR="0035108F" w:rsidRDefault="0035108F" w:rsidP="003A7970">
            <w:pPr>
              <w:jc w:val="center"/>
            </w:pPr>
            <w:r>
              <w:t>RM’000</w:t>
            </w:r>
          </w:p>
        </w:tc>
        <w:tc>
          <w:tcPr>
            <w:tcW w:w="1980" w:type="dxa"/>
            <w:shd w:val="clear" w:color="auto" w:fill="auto"/>
          </w:tcPr>
          <w:p w:rsidR="0035108F" w:rsidRDefault="0035108F" w:rsidP="003A7970">
            <w:pPr>
              <w:jc w:val="center"/>
            </w:pPr>
            <w:r>
              <w:t>Year to Date</w:t>
            </w:r>
          </w:p>
          <w:p w:rsidR="0035108F" w:rsidRDefault="0035108F" w:rsidP="003A7970">
            <w:pPr>
              <w:jc w:val="center"/>
            </w:pPr>
            <w:r>
              <w:t>RM’000</w:t>
            </w:r>
          </w:p>
        </w:tc>
      </w:tr>
      <w:tr w:rsidR="0035108F" w:rsidTr="00F07A24">
        <w:trPr>
          <w:trHeight w:val="359"/>
        </w:trPr>
        <w:tc>
          <w:tcPr>
            <w:tcW w:w="3780" w:type="dxa"/>
            <w:shd w:val="clear" w:color="auto" w:fill="auto"/>
          </w:tcPr>
          <w:p w:rsidR="0035108F" w:rsidRDefault="0035108F" w:rsidP="003A7970">
            <w:pPr>
              <w:jc w:val="both"/>
            </w:pPr>
            <w:r>
              <w:t>Current taxation</w:t>
            </w:r>
          </w:p>
        </w:tc>
        <w:tc>
          <w:tcPr>
            <w:tcW w:w="1890" w:type="dxa"/>
            <w:shd w:val="clear" w:color="auto" w:fill="auto"/>
          </w:tcPr>
          <w:p w:rsidR="0035108F" w:rsidRDefault="0035108F" w:rsidP="003A7970">
            <w:pPr>
              <w:jc w:val="center"/>
            </w:pPr>
          </w:p>
        </w:tc>
        <w:tc>
          <w:tcPr>
            <w:tcW w:w="1980" w:type="dxa"/>
            <w:shd w:val="clear" w:color="auto" w:fill="auto"/>
          </w:tcPr>
          <w:p w:rsidR="0035108F" w:rsidRDefault="0035108F" w:rsidP="003A7970">
            <w:pPr>
              <w:jc w:val="center"/>
            </w:pPr>
          </w:p>
        </w:tc>
      </w:tr>
      <w:tr w:rsidR="0035108F" w:rsidTr="003A7970">
        <w:tc>
          <w:tcPr>
            <w:tcW w:w="3780" w:type="dxa"/>
            <w:shd w:val="clear" w:color="auto" w:fill="auto"/>
          </w:tcPr>
          <w:p w:rsidR="0035108F" w:rsidRDefault="0035108F" w:rsidP="003A7970">
            <w:pPr>
              <w:jc w:val="both"/>
            </w:pPr>
            <w:r>
              <w:t>- provision for the period</w:t>
            </w:r>
          </w:p>
        </w:tc>
        <w:tc>
          <w:tcPr>
            <w:tcW w:w="1890" w:type="dxa"/>
            <w:shd w:val="clear" w:color="auto" w:fill="auto"/>
          </w:tcPr>
          <w:p w:rsidR="0035108F" w:rsidRDefault="004F3C0E" w:rsidP="002A1F44">
            <w:pPr>
              <w:jc w:val="both"/>
            </w:pPr>
            <w:r>
              <w:t xml:space="preserve">     </w:t>
            </w:r>
            <w:r w:rsidR="00C770E0">
              <w:t xml:space="preserve"> </w:t>
            </w:r>
            <w:r>
              <w:t xml:space="preserve"> </w:t>
            </w:r>
            <w:r w:rsidR="00170B88">
              <w:t xml:space="preserve"> </w:t>
            </w:r>
            <w:r w:rsidR="005757F8">
              <w:t xml:space="preserve"> </w:t>
            </w:r>
            <w:r w:rsidR="002A1F44">
              <w:t>3</w:t>
            </w:r>
            <w:r w:rsidR="00D86563">
              <w:t>,</w:t>
            </w:r>
            <w:r w:rsidR="002A1F44">
              <w:t>305</w:t>
            </w:r>
          </w:p>
        </w:tc>
        <w:tc>
          <w:tcPr>
            <w:tcW w:w="1980" w:type="dxa"/>
            <w:shd w:val="clear" w:color="auto" w:fill="auto"/>
          </w:tcPr>
          <w:p w:rsidR="0035108F" w:rsidRDefault="004F3C0E" w:rsidP="002A1F44">
            <w:pPr>
              <w:jc w:val="both"/>
            </w:pPr>
            <w:r>
              <w:t xml:space="preserve">          </w:t>
            </w:r>
            <w:r w:rsidR="009636DA">
              <w:t xml:space="preserve"> </w:t>
            </w:r>
            <w:r w:rsidR="002A1F44">
              <w:t>11</w:t>
            </w:r>
            <w:r w:rsidR="00432E1D">
              <w:t>,</w:t>
            </w:r>
            <w:r w:rsidR="002A1F44">
              <w:t>203</w:t>
            </w:r>
          </w:p>
        </w:tc>
      </w:tr>
      <w:tr w:rsidR="0035108F" w:rsidTr="003A7970">
        <w:tc>
          <w:tcPr>
            <w:tcW w:w="3780" w:type="dxa"/>
            <w:shd w:val="clear" w:color="auto" w:fill="auto"/>
          </w:tcPr>
          <w:p w:rsidR="0035108F" w:rsidRDefault="0035108F" w:rsidP="003A7970">
            <w:pPr>
              <w:jc w:val="both"/>
            </w:pPr>
            <w:r>
              <w:t>- deferred taxation</w:t>
            </w:r>
          </w:p>
        </w:tc>
        <w:tc>
          <w:tcPr>
            <w:tcW w:w="1890" w:type="dxa"/>
            <w:shd w:val="clear" w:color="auto" w:fill="auto"/>
          </w:tcPr>
          <w:p w:rsidR="0035108F" w:rsidRPr="003A7970" w:rsidRDefault="003739A9" w:rsidP="002A1F44">
            <w:pPr>
              <w:jc w:val="both"/>
              <w:rPr>
                <w:u w:val="single"/>
              </w:rPr>
            </w:pPr>
            <w:r w:rsidRPr="003A7970">
              <w:rPr>
                <w:u w:val="single"/>
              </w:rPr>
              <w:t xml:space="preserve">  </w:t>
            </w:r>
            <w:r w:rsidR="00C770E0" w:rsidRPr="003A7970">
              <w:rPr>
                <w:u w:val="single"/>
              </w:rPr>
              <w:t xml:space="preserve"> </w:t>
            </w:r>
            <w:r w:rsidR="004F714F" w:rsidRPr="003A7970">
              <w:rPr>
                <w:u w:val="single"/>
              </w:rPr>
              <w:t xml:space="preserve">  </w:t>
            </w:r>
            <w:r w:rsidR="004F3C0E" w:rsidRPr="003A7970">
              <w:rPr>
                <w:u w:val="single"/>
              </w:rPr>
              <w:t xml:space="preserve">  </w:t>
            </w:r>
            <w:r w:rsidR="00C770E0" w:rsidRPr="003A7970">
              <w:rPr>
                <w:u w:val="single"/>
              </w:rPr>
              <w:t xml:space="preserve"> </w:t>
            </w:r>
            <w:r w:rsidR="00F16A50" w:rsidRPr="003A7970">
              <w:rPr>
                <w:u w:val="single"/>
              </w:rPr>
              <w:t xml:space="preserve"> </w:t>
            </w:r>
            <w:r w:rsidR="0055708F">
              <w:rPr>
                <w:u w:val="single"/>
              </w:rPr>
              <w:t xml:space="preserve"> </w:t>
            </w:r>
            <w:r w:rsidR="003579C1">
              <w:rPr>
                <w:u w:val="single"/>
              </w:rPr>
              <w:t xml:space="preserve"> </w:t>
            </w:r>
            <w:r w:rsidR="003F2BF4">
              <w:rPr>
                <w:u w:val="single"/>
              </w:rPr>
              <w:t xml:space="preserve"> </w:t>
            </w:r>
            <w:r w:rsidR="002A1F44">
              <w:rPr>
                <w:u w:val="single"/>
              </w:rPr>
              <w:t>156</w:t>
            </w:r>
          </w:p>
        </w:tc>
        <w:tc>
          <w:tcPr>
            <w:tcW w:w="1980" w:type="dxa"/>
            <w:shd w:val="clear" w:color="auto" w:fill="auto"/>
          </w:tcPr>
          <w:p w:rsidR="0035108F" w:rsidRPr="003A7970" w:rsidRDefault="004B394D" w:rsidP="002A1F44">
            <w:pPr>
              <w:jc w:val="both"/>
              <w:rPr>
                <w:u w:val="single"/>
              </w:rPr>
            </w:pPr>
            <w:r w:rsidRPr="003A7970">
              <w:rPr>
                <w:u w:val="single"/>
              </w:rPr>
              <w:t xml:space="preserve">            </w:t>
            </w:r>
            <w:r w:rsidR="00F16A50" w:rsidRPr="003A7970">
              <w:rPr>
                <w:u w:val="single"/>
              </w:rPr>
              <w:t xml:space="preserve"> </w:t>
            </w:r>
            <w:r w:rsidR="003B7176">
              <w:rPr>
                <w:u w:val="single"/>
              </w:rPr>
              <w:t xml:space="preserve">  </w:t>
            </w:r>
            <w:r w:rsidR="003F2BF4">
              <w:rPr>
                <w:u w:val="single"/>
              </w:rPr>
              <w:t xml:space="preserve"> </w:t>
            </w:r>
            <w:r w:rsidR="002A1F44">
              <w:rPr>
                <w:u w:val="single"/>
              </w:rPr>
              <w:t>180</w:t>
            </w:r>
          </w:p>
        </w:tc>
      </w:tr>
      <w:tr w:rsidR="0035108F" w:rsidTr="003A7970">
        <w:tc>
          <w:tcPr>
            <w:tcW w:w="3780" w:type="dxa"/>
            <w:shd w:val="clear" w:color="auto" w:fill="auto"/>
          </w:tcPr>
          <w:p w:rsidR="0035108F" w:rsidRDefault="0035108F" w:rsidP="003A7970">
            <w:pPr>
              <w:jc w:val="both"/>
            </w:pPr>
          </w:p>
        </w:tc>
        <w:tc>
          <w:tcPr>
            <w:tcW w:w="1890" w:type="dxa"/>
            <w:shd w:val="clear" w:color="auto" w:fill="auto"/>
          </w:tcPr>
          <w:p w:rsidR="0035108F" w:rsidRPr="003A7970" w:rsidRDefault="00C770E0" w:rsidP="002A1F44">
            <w:pPr>
              <w:jc w:val="both"/>
              <w:rPr>
                <w:u w:val="single"/>
              </w:rPr>
            </w:pPr>
            <w:r w:rsidRPr="003A7970">
              <w:rPr>
                <w:u w:val="single"/>
              </w:rPr>
              <w:t xml:space="preserve">  </w:t>
            </w:r>
            <w:r w:rsidR="004F3C0E" w:rsidRPr="003A7970">
              <w:rPr>
                <w:u w:val="single"/>
              </w:rPr>
              <w:t xml:space="preserve">    </w:t>
            </w:r>
            <w:r w:rsidR="00450852" w:rsidRPr="003A7970">
              <w:rPr>
                <w:u w:val="single"/>
              </w:rPr>
              <w:t xml:space="preserve"> </w:t>
            </w:r>
            <w:r w:rsidR="003F2BF4">
              <w:rPr>
                <w:u w:val="single"/>
              </w:rPr>
              <w:t xml:space="preserve"> </w:t>
            </w:r>
            <w:r w:rsidR="0032267E" w:rsidRPr="003A7970">
              <w:rPr>
                <w:u w:val="single"/>
              </w:rPr>
              <w:t xml:space="preserve"> </w:t>
            </w:r>
            <w:r w:rsidR="002A1F44">
              <w:rPr>
                <w:u w:val="single"/>
              </w:rPr>
              <w:t>3</w:t>
            </w:r>
            <w:r w:rsidR="003579C1">
              <w:rPr>
                <w:u w:val="single"/>
              </w:rPr>
              <w:t>,</w:t>
            </w:r>
            <w:r w:rsidR="002A1F44">
              <w:rPr>
                <w:u w:val="single"/>
              </w:rPr>
              <w:t>461</w:t>
            </w:r>
          </w:p>
        </w:tc>
        <w:tc>
          <w:tcPr>
            <w:tcW w:w="1980" w:type="dxa"/>
            <w:shd w:val="clear" w:color="auto" w:fill="auto"/>
          </w:tcPr>
          <w:p w:rsidR="0035108F" w:rsidRPr="003A7970" w:rsidRDefault="003500F0" w:rsidP="002A1F44">
            <w:pPr>
              <w:jc w:val="both"/>
              <w:rPr>
                <w:u w:val="single"/>
              </w:rPr>
            </w:pPr>
            <w:r w:rsidRPr="003A7970">
              <w:rPr>
                <w:u w:val="single"/>
              </w:rPr>
              <w:t xml:space="preserve">         </w:t>
            </w:r>
            <w:r w:rsidR="004B394D" w:rsidRPr="003A7970">
              <w:rPr>
                <w:u w:val="single"/>
              </w:rPr>
              <w:t xml:space="preserve"> </w:t>
            </w:r>
            <w:r w:rsidR="004F714F" w:rsidRPr="003A7970">
              <w:rPr>
                <w:u w:val="single"/>
              </w:rPr>
              <w:t xml:space="preserve"> </w:t>
            </w:r>
            <w:r w:rsidR="002A1F44">
              <w:rPr>
                <w:u w:val="single"/>
              </w:rPr>
              <w:t>11</w:t>
            </w:r>
            <w:r w:rsidR="00432E1D" w:rsidRPr="003A7970">
              <w:rPr>
                <w:u w:val="single"/>
              </w:rPr>
              <w:t>,</w:t>
            </w:r>
            <w:r w:rsidR="002A1F44">
              <w:rPr>
                <w:u w:val="single"/>
              </w:rPr>
              <w:t>383</w:t>
            </w:r>
            <w:r w:rsidRPr="003A7970">
              <w:rPr>
                <w:u w:val="single"/>
              </w:rPr>
              <w:t xml:space="preserve"> </w:t>
            </w:r>
          </w:p>
        </w:tc>
      </w:tr>
    </w:tbl>
    <w:p w:rsidR="009E69BF" w:rsidRDefault="009E69BF">
      <w:pPr>
        <w:jc w:val="both"/>
      </w:pPr>
      <w:r>
        <w:t xml:space="preserve">    </w:t>
      </w:r>
    </w:p>
    <w:p w:rsidR="000F350D" w:rsidRDefault="000F350D">
      <w:pPr>
        <w:jc w:val="both"/>
      </w:pPr>
    </w:p>
    <w:p w:rsidR="009E69BF" w:rsidRDefault="009E69BF" w:rsidP="00234883">
      <w:pPr>
        <w:ind w:left="720"/>
        <w:jc w:val="both"/>
      </w:pPr>
      <w:r>
        <w:t xml:space="preserve">The </w:t>
      </w:r>
      <w:r w:rsidR="00FC14F4">
        <w:t>lower</w:t>
      </w:r>
      <w:r w:rsidR="003B7176">
        <w:t xml:space="preserve"> </w:t>
      </w:r>
      <w:r>
        <w:t xml:space="preserve">effective tax rate for the current quarter under review was </w:t>
      </w:r>
      <w:r w:rsidR="009636DA">
        <w:t xml:space="preserve">mainly </w:t>
      </w:r>
      <w:r>
        <w:t xml:space="preserve">due </w:t>
      </w:r>
      <w:r w:rsidR="005B10A0">
        <w:t xml:space="preserve">to </w:t>
      </w:r>
      <w:r w:rsidR="003643F8">
        <w:t xml:space="preserve">claim of </w:t>
      </w:r>
      <w:r w:rsidR="000F350D">
        <w:t xml:space="preserve">increase of </w:t>
      </w:r>
      <w:r w:rsidR="003643F8">
        <w:t>export allowance by</w:t>
      </w:r>
      <w:r w:rsidR="00FC14F4">
        <w:t xml:space="preserve"> a</w:t>
      </w:r>
      <w:r w:rsidR="00234883">
        <w:t xml:space="preserve"> subsidiary compan</w:t>
      </w:r>
      <w:r w:rsidR="003643F8">
        <w:t>y</w:t>
      </w:r>
      <w:r w:rsidR="00FC14F4">
        <w:t>.</w:t>
      </w:r>
      <w:r>
        <w:t xml:space="preserve"> </w:t>
      </w:r>
    </w:p>
    <w:p w:rsidR="00E35F2C" w:rsidRDefault="00E35F2C" w:rsidP="00234883">
      <w:pPr>
        <w:ind w:left="720"/>
        <w:jc w:val="both"/>
      </w:pPr>
    </w:p>
    <w:p w:rsidR="008C53AD" w:rsidRDefault="008C53AD">
      <w:pPr>
        <w:pStyle w:val="BodyTextIndent"/>
        <w:ind w:left="180"/>
      </w:pPr>
    </w:p>
    <w:p w:rsidR="00E35F2C" w:rsidRDefault="00E35F2C">
      <w:pPr>
        <w:pStyle w:val="BodyTextIndent"/>
        <w:ind w:left="180"/>
      </w:pPr>
    </w:p>
    <w:p w:rsidR="00E35F2C" w:rsidRDefault="00E35F2C">
      <w:pPr>
        <w:pStyle w:val="BodyTextIndent"/>
        <w:ind w:left="180"/>
      </w:pPr>
    </w:p>
    <w:p w:rsidR="00E35F2C" w:rsidRDefault="00E35F2C">
      <w:pPr>
        <w:pStyle w:val="BodyTextIndent"/>
        <w:ind w:left="180"/>
      </w:pPr>
    </w:p>
    <w:p w:rsidR="00E35F2C" w:rsidRDefault="00E35F2C">
      <w:pPr>
        <w:pStyle w:val="BodyTextIndent"/>
        <w:ind w:left="180"/>
      </w:pPr>
    </w:p>
    <w:p w:rsidR="00FC14F4" w:rsidRDefault="00FC14F4">
      <w:pPr>
        <w:pStyle w:val="BodyTextIndent"/>
        <w:ind w:left="180"/>
      </w:pPr>
    </w:p>
    <w:p w:rsidR="00E35F2C" w:rsidRDefault="00E35F2C">
      <w:pPr>
        <w:pStyle w:val="BodyTextIndent"/>
        <w:ind w:left="180"/>
      </w:pPr>
    </w:p>
    <w:p w:rsidR="00E35F2C" w:rsidRDefault="00E35F2C">
      <w:pPr>
        <w:pStyle w:val="BodyTextIndent"/>
        <w:ind w:left="180"/>
      </w:pPr>
    </w:p>
    <w:p w:rsidR="00E35F2C" w:rsidRDefault="00E35F2C">
      <w:pPr>
        <w:pStyle w:val="BodyTextIndent"/>
        <w:ind w:left="180"/>
      </w:pPr>
    </w:p>
    <w:p w:rsidR="00366C58" w:rsidRDefault="00366C58">
      <w:pPr>
        <w:pStyle w:val="BodyTextIndent"/>
        <w:ind w:left="180"/>
      </w:pPr>
    </w:p>
    <w:p w:rsidR="00E35F2C" w:rsidRDefault="00E35F2C">
      <w:pPr>
        <w:pStyle w:val="BodyTextIndent"/>
        <w:ind w:left="180"/>
      </w:pPr>
    </w:p>
    <w:p w:rsidR="00E35F2C" w:rsidRDefault="00E35F2C">
      <w:pPr>
        <w:pStyle w:val="BodyTextIndent"/>
        <w:ind w:left="180"/>
      </w:pPr>
      <w:r>
        <w:t>-continue</w:t>
      </w:r>
      <w:r w:rsidR="005C5597">
        <w:t>d</w:t>
      </w:r>
    </w:p>
    <w:p w:rsidR="00E35F2C" w:rsidRDefault="00E35F2C">
      <w:pPr>
        <w:pStyle w:val="BodyTextIndent"/>
        <w:ind w:left="180"/>
      </w:pPr>
    </w:p>
    <w:p w:rsidR="009E69BF" w:rsidRDefault="005757F8" w:rsidP="00F5120F">
      <w:pPr>
        <w:jc w:val="both"/>
      </w:pPr>
      <w:r>
        <w:t>2</w:t>
      </w:r>
      <w:r w:rsidR="00F5120F">
        <w:t>1</w:t>
      </w:r>
      <w:r w:rsidR="009E69BF">
        <w:t xml:space="preserve">.      </w:t>
      </w:r>
      <w:r w:rsidR="009E69BF">
        <w:rPr>
          <w:b/>
        </w:rPr>
        <w:t>Corporate proposals</w:t>
      </w:r>
    </w:p>
    <w:p w:rsidR="009E69BF" w:rsidRDefault="009E69BF">
      <w:pPr>
        <w:jc w:val="both"/>
      </w:pPr>
      <w:r>
        <w:t xml:space="preserve">   </w:t>
      </w:r>
    </w:p>
    <w:p w:rsidR="00FC70E9" w:rsidRDefault="00FC70E9">
      <w:pPr>
        <w:ind w:left="720"/>
        <w:jc w:val="both"/>
      </w:pPr>
      <w:r>
        <w:t xml:space="preserve">KAF Investment Bank </w:t>
      </w:r>
      <w:proofErr w:type="spellStart"/>
      <w:r>
        <w:t>Berh</w:t>
      </w:r>
      <w:r w:rsidR="00C369A6">
        <w:t>ad</w:t>
      </w:r>
      <w:proofErr w:type="spellEnd"/>
      <w:r w:rsidR="00C369A6">
        <w:t xml:space="preserve"> on behalf of the LHIB had mad</w:t>
      </w:r>
      <w:r>
        <w:t xml:space="preserve">e an announcement on </w:t>
      </w:r>
      <w:r w:rsidR="004C0AE4">
        <w:t xml:space="preserve">19 October </w:t>
      </w:r>
      <w:r>
        <w:t>2015</w:t>
      </w:r>
      <w:r w:rsidR="004C0AE4">
        <w:t>: -</w:t>
      </w:r>
    </w:p>
    <w:p w:rsidR="00A47712" w:rsidRDefault="00A47712">
      <w:pPr>
        <w:ind w:left="720" w:hanging="720"/>
        <w:jc w:val="both"/>
      </w:pPr>
    </w:p>
    <w:p w:rsidR="00FC70E9" w:rsidRDefault="00FC70E9" w:rsidP="00FC70E9">
      <w:pPr>
        <w:ind w:left="1440" w:hanging="720"/>
        <w:jc w:val="both"/>
      </w:pPr>
      <w:r>
        <w:t>(</w:t>
      </w:r>
      <w:proofErr w:type="spellStart"/>
      <w:r>
        <w:t>i</w:t>
      </w:r>
      <w:proofErr w:type="spellEnd"/>
      <w:r>
        <w:t>)</w:t>
      </w:r>
      <w:r>
        <w:tab/>
      </w:r>
      <w:r w:rsidR="004C0AE4">
        <w:t>The number of Bonus Shares to be listed and quoted on the Main Market of Bursa Securities on 20 October 2015 is 29,999,994 Bonus Shares pursuant to the Bonus Issue; and</w:t>
      </w:r>
    </w:p>
    <w:p w:rsidR="00F97DBC" w:rsidRDefault="00F97DBC" w:rsidP="00FC70E9">
      <w:pPr>
        <w:ind w:left="1440" w:hanging="720"/>
        <w:jc w:val="both"/>
      </w:pPr>
    </w:p>
    <w:p w:rsidR="004C0AE4" w:rsidRDefault="00FC70E9" w:rsidP="004C0AE4">
      <w:pPr>
        <w:ind w:left="1440" w:hanging="720"/>
        <w:jc w:val="both"/>
      </w:pPr>
      <w:r>
        <w:t>(ii)</w:t>
      </w:r>
      <w:r>
        <w:tab/>
      </w:r>
      <w:r w:rsidR="004C0AE4">
        <w:t>The number of Subdivided Shares to be listed and quoted on the Main Market of Bursa Securities on 20 October 2015 is 179,999,988 Subdivided Shares pursuant to the Share Split and after taking into account the existing issued and paid up share capital of LHIB consisting 60,000,000 LHIB Shares and the issuance of 29,999,994 Bonus Shares.</w:t>
      </w:r>
    </w:p>
    <w:p w:rsidR="00E35F2C" w:rsidRDefault="004C0AE4" w:rsidP="004C0AE4">
      <w:pPr>
        <w:ind w:left="1440" w:hanging="720"/>
        <w:jc w:val="both"/>
      </w:pPr>
      <w:r>
        <w:t xml:space="preserve"> </w:t>
      </w:r>
    </w:p>
    <w:p w:rsidR="00CC494B" w:rsidRDefault="000F350D" w:rsidP="00CC494B">
      <w:pPr>
        <w:ind w:left="720"/>
        <w:jc w:val="both"/>
      </w:pPr>
      <w:r>
        <w:t>Hence, t</w:t>
      </w:r>
      <w:r w:rsidR="00F97DBC">
        <w:t xml:space="preserve">he enlarged issued and paid up share capital of LHIB </w:t>
      </w:r>
      <w:r>
        <w:t>is</w:t>
      </w:r>
      <w:r w:rsidR="00F97DBC">
        <w:t xml:space="preserve"> 179,999,988 ordinary shares of RM0.50 each as at 19 October 2015 pursuant to the Bonus Issue and the Share Split.</w:t>
      </w:r>
    </w:p>
    <w:p w:rsidR="00FC70E9" w:rsidRDefault="00FC70E9" w:rsidP="00CC494B">
      <w:pPr>
        <w:ind w:left="1440" w:hanging="720"/>
        <w:jc w:val="both"/>
      </w:pPr>
      <w:r>
        <w:t xml:space="preserve"> </w:t>
      </w:r>
    </w:p>
    <w:p w:rsidR="009E69BF" w:rsidRDefault="00E35F2C" w:rsidP="00F5120F">
      <w:pPr>
        <w:ind w:left="720" w:hanging="720"/>
        <w:jc w:val="both"/>
        <w:rPr>
          <w:b/>
        </w:rPr>
      </w:pPr>
      <w:r>
        <w:t>22.</w:t>
      </w:r>
      <w:r w:rsidR="00FC70E9">
        <w:tab/>
      </w:r>
      <w:r w:rsidR="009E69BF">
        <w:rPr>
          <w:b/>
        </w:rPr>
        <w:t>Group Borrowings and Debt Securities</w:t>
      </w:r>
    </w:p>
    <w:p w:rsidR="009E69BF" w:rsidRDefault="009E69BF">
      <w:pPr>
        <w:ind w:left="720" w:hanging="720"/>
        <w:jc w:val="both"/>
        <w:rPr>
          <w:sz w:val="16"/>
        </w:rPr>
      </w:pPr>
    </w:p>
    <w:p w:rsidR="009E69BF" w:rsidRDefault="009E69BF" w:rsidP="00A7547B">
      <w:pPr>
        <w:ind w:left="720" w:hanging="720"/>
      </w:pPr>
      <w:r>
        <w:tab/>
        <w:t>The Group's borrowings as at 3</w:t>
      </w:r>
      <w:r w:rsidR="00584534">
        <w:t xml:space="preserve">0 </w:t>
      </w:r>
      <w:r w:rsidR="0096327E">
        <w:t>September</w:t>
      </w:r>
      <w:r w:rsidR="00FE36FA">
        <w:t xml:space="preserve"> </w:t>
      </w:r>
      <w:r w:rsidR="00ED5856">
        <w:t>201</w:t>
      </w:r>
      <w:r w:rsidR="00D94256">
        <w:t>5</w:t>
      </w:r>
      <w:r w:rsidR="00ED5856">
        <w:t xml:space="preserve"> </w:t>
      </w:r>
      <w:r w:rsidR="00F3147E">
        <w:rPr>
          <w:rFonts w:eastAsia="宋體"/>
          <w:lang w:eastAsia="zh-TW"/>
        </w:rPr>
        <w:t>were</w:t>
      </w:r>
      <w:r>
        <w:t xml:space="preserve"> as follows: -</w:t>
      </w:r>
    </w:p>
    <w:p w:rsidR="00BD4013" w:rsidRDefault="009E69BF" w:rsidP="00BF1036">
      <w:pPr>
        <w:tabs>
          <w:tab w:val="left" w:pos="720"/>
          <w:tab w:val="right" w:pos="5040"/>
          <w:tab w:val="right" w:pos="6480"/>
          <w:tab w:val="right" w:pos="7920"/>
        </w:tabs>
        <w:jc w:val="both"/>
      </w:pPr>
      <w:r>
        <w:tab/>
      </w:r>
      <w:r>
        <w:tab/>
      </w:r>
      <w:r>
        <w:tab/>
      </w: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153"/>
        <w:gridCol w:w="2430"/>
        <w:gridCol w:w="2160"/>
      </w:tblGrid>
      <w:tr w:rsidR="00BD4013" w:rsidTr="003A7970">
        <w:tc>
          <w:tcPr>
            <w:tcW w:w="1717" w:type="dxa"/>
            <w:shd w:val="clear" w:color="auto" w:fill="auto"/>
          </w:tcPr>
          <w:p w:rsidR="00BD4013" w:rsidRDefault="00BD4013" w:rsidP="003A7970">
            <w:pPr>
              <w:tabs>
                <w:tab w:val="left" w:pos="-198"/>
                <w:tab w:val="right" w:pos="5040"/>
                <w:tab w:val="right" w:pos="6480"/>
                <w:tab w:val="right" w:pos="7920"/>
              </w:tabs>
              <w:ind w:left="-108"/>
              <w:jc w:val="both"/>
            </w:pPr>
          </w:p>
        </w:tc>
        <w:tc>
          <w:tcPr>
            <w:tcW w:w="2153" w:type="dxa"/>
            <w:shd w:val="clear" w:color="auto" w:fill="auto"/>
          </w:tcPr>
          <w:p w:rsidR="00BD4013" w:rsidRDefault="00E366AA" w:rsidP="003A7970">
            <w:pPr>
              <w:tabs>
                <w:tab w:val="left" w:pos="720"/>
                <w:tab w:val="right" w:pos="5040"/>
                <w:tab w:val="right" w:pos="6480"/>
                <w:tab w:val="right" w:pos="7920"/>
              </w:tabs>
              <w:jc w:val="both"/>
            </w:pPr>
            <w:r>
              <w:t>Secured (RM’000)</w:t>
            </w:r>
          </w:p>
        </w:tc>
        <w:tc>
          <w:tcPr>
            <w:tcW w:w="2430" w:type="dxa"/>
            <w:shd w:val="clear" w:color="auto" w:fill="auto"/>
          </w:tcPr>
          <w:p w:rsidR="00BD4013" w:rsidRDefault="00E366AA" w:rsidP="003A7970">
            <w:pPr>
              <w:tabs>
                <w:tab w:val="left" w:pos="720"/>
                <w:tab w:val="right" w:pos="5040"/>
                <w:tab w:val="right" w:pos="6480"/>
                <w:tab w:val="right" w:pos="7920"/>
              </w:tabs>
              <w:jc w:val="both"/>
            </w:pPr>
            <w:r>
              <w:t xml:space="preserve">Unsecured (RM’000) </w:t>
            </w:r>
          </w:p>
        </w:tc>
        <w:tc>
          <w:tcPr>
            <w:tcW w:w="2160" w:type="dxa"/>
            <w:shd w:val="clear" w:color="auto" w:fill="auto"/>
          </w:tcPr>
          <w:p w:rsidR="00BD4013" w:rsidRDefault="00E366AA" w:rsidP="003A7970">
            <w:pPr>
              <w:tabs>
                <w:tab w:val="left" w:pos="720"/>
                <w:tab w:val="right" w:pos="5040"/>
                <w:tab w:val="right" w:pos="6480"/>
                <w:tab w:val="right" w:pos="7920"/>
              </w:tabs>
              <w:jc w:val="both"/>
            </w:pPr>
            <w:r>
              <w:t>Total (RM’000)</w:t>
            </w:r>
          </w:p>
        </w:tc>
      </w:tr>
      <w:tr w:rsidR="00BD4013" w:rsidTr="003A7970">
        <w:tc>
          <w:tcPr>
            <w:tcW w:w="1717" w:type="dxa"/>
            <w:shd w:val="clear" w:color="auto" w:fill="auto"/>
          </w:tcPr>
          <w:p w:rsidR="00E366AA" w:rsidRDefault="00E366AA" w:rsidP="003A7970">
            <w:pPr>
              <w:tabs>
                <w:tab w:val="left" w:pos="-198"/>
                <w:tab w:val="right" w:pos="5040"/>
                <w:tab w:val="right" w:pos="6480"/>
                <w:tab w:val="right" w:pos="7920"/>
              </w:tabs>
              <w:ind w:left="-108"/>
              <w:jc w:val="both"/>
            </w:pPr>
            <w:r>
              <w:t xml:space="preserve"> Short Term</w:t>
            </w:r>
          </w:p>
        </w:tc>
        <w:tc>
          <w:tcPr>
            <w:tcW w:w="2153" w:type="dxa"/>
            <w:shd w:val="clear" w:color="auto" w:fill="auto"/>
          </w:tcPr>
          <w:p w:rsidR="00BD4013" w:rsidRDefault="00170B88" w:rsidP="00F97DBC">
            <w:pPr>
              <w:tabs>
                <w:tab w:val="left" w:pos="720"/>
                <w:tab w:val="right" w:pos="5040"/>
                <w:tab w:val="right" w:pos="6480"/>
                <w:tab w:val="right" w:pos="7920"/>
              </w:tabs>
              <w:jc w:val="both"/>
            </w:pPr>
            <w:r>
              <w:t xml:space="preserve">        </w:t>
            </w:r>
            <w:r w:rsidR="005E3EAF">
              <w:t>22</w:t>
            </w:r>
            <w:r w:rsidR="00AF283B">
              <w:t>,</w:t>
            </w:r>
            <w:r w:rsidR="00F97DBC">
              <w:t>707</w:t>
            </w:r>
          </w:p>
        </w:tc>
        <w:tc>
          <w:tcPr>
            <w:tcW w:w="2430" w:type="dxa"/>
            <w:shd w:val="clear" w:color="auto" w:fill="auto"/>
          </w:tcPr>
          <w:p w:rsidR="00BD4013" w:rsidRDefault="00170B88" w:rsidP="003A7970">
            <w:pPr>
              <w:tabs>
                <w:tab w:val="left" w:pos="720"/>
                <w:tab w:val="right" w:pos="5040"/>
                <w:tab w:val="right" w:pos="6480"/>
                <w:tab w:val="right" w:pos="7920"/>
              </w:tabs>
              <w:jc w:val="both"/>
            </w:pPr>
            <w:r>
              <w:t xml:space="preserve">                -</w:t>
            </w:r>
          </w:p>
        </w:tc>
        <w:tc>
          <w:tcPr>
            <w:tcW w:w="2160" w:type="dxa"/>
            <w:shd w:val="clear" w:color="auto" w:fill="auto"/>
          </w:tcPr>
          <w:p w:rsidR="00BD4013" w:rsidRDefault="00170B88" w:rsidP="00F97DBC">
            <w:pPr>
              <w:tabs>
                <w:tab w:val="left" w:pos="720"/>
                <w:tab w:val="right" w:pos="5040"/>
                <w:tab w:val="right" w:pos="6480"/>
                <w:tab w:val="right" w:pos="7920"/>
              </w:tabs>
              <w:jc w:val="both"/>
            </w:pPr>
            <w:r>
              <w:t xml:space="preserve">       </w:t>
            </w:r>
            <w:r w:rsidR="005E3EAF">
              <w:t>22</w:t>
            </w:r>
            <w:r>
              <w:t>,</w:t>
            </w:r>
            <w:r w:rsidR="00F97DBC">
              <w:t>707</w:t>
            </w:r>
          </w:p>
        </w:tc>
      </w:tr>
      <w:tr w:rsidR="00BD4013" w:rsidTr="003A7970">
        <w:tc>
          <w:tcPr>
            <w:tcW w:w="1717" w:type="dxa"/>
            <w:shd w:val="clear" w:color="auto" w:fill="auto"/>
          </w:tcPr>
          <w:p w:rsidR="00BD4013" w:rsidRDefault="00E366AA" w:rsidP="003A7970">
            <w:pPr>
              <w:tabs>
                <w:tab w:val="left" w:pos="-198"/>
                <w:tab w:val="right" w:pos="5040"/>
                <w:tab w:val="right" w:pos="6480"/>
                <w:tab w:val="right" w:pos="7920"/>
              </w:tabs>
              <w:ind w:left="-108"/>
              <w:jc w:val="both"/>
            </w:pPr>
            <w:r>
              <w:t xml:space="preserve"> Long Term</w:t>
            </w:r>
          </w:p>
        </w:tc>
        <w:tc>
          <w:tcPr>
            <w:tcW w:w="2153" w:type="dxa"/>
            <w:shd w:val="clear" w:color="auto" w:fill="auto"/>
          </w:tcPr>
          <w:p w:rsidR="00BD4013" w:rsidRPr="003A7970" w:rsidRDefault="00170B88" w:rsidP="00F97DBC">
            <w:pPr>
              <w:tabs>
                <w:tab w:val="left" w:pos="720"/>
                <w:tab w:val="right" w:pos="5040"/>
                <w:tab w:val="right" w:pos="6480"/>
                <w:tab w:val="right" w:pos="7920"/>
              </w:tabs>
              <w:jc w:val="both"/>
              <w:rPr>
                <w:u w:val="single"/>
              </w:rPr>
            </w:pPr>
            <w:r>
              <w:t xml:space="preserve">         </w:t>
            </w:r>
            <w:r w:rsidRPr="003A7970">
              <w:rPr>
                <w:u w:val="single"/>
              </w:rPr>
              <w:t xml:space="preserve"> </w:t>
            </w:r>
            <w:r w:rsidR="00F97DBC">
              <w:rPr>
                <w:u w:val="single"/>
              </w:rPr>
              <w:t>7</w:t>
            </w:r>
            <w:r w:rsidRPr="003A7970">
              <w:rPr>
                <w:u w:val="single"/>
              </w:rPr>
              <w:t>,</w:t>
            </w:r>
            <w:r w:rsidR="00F97DBC">
              <w:rPr>
                <w:u w:val="single"/>
              </w:rPr>
              <w:t>531</w:t>
            </w:r>
            <w:r w:rsidRPr="003A7970">
              <w:rPr>
                <w:u w:val="single"/>
              </w:rPr>
              <w:t xml:space="preserve">   </w:t>
            </w:r>
          </w:p>
        </w:tc>
        <w:tc>
          <w:tcPr>
            <w:tcW w:w="2430" w:type="dxa"/>
            <w:shd w:val="clear" w:color="auto" w:fill="auto"/>
          </w:tcPr>
          <w:p w:rsidR="00BD4013" w:rsidRDefault="00170B88" w:rsidP="003A7970">
            <w:pPr>
              <w:tabs>
                <w:tab w:val="left" w:pos="720"/>
                <w:tab w:val="right" w:pos="5040"/>
                <w:tab w:val="right" w:pos="6480"/>
                <w:tab w:val="right" w:pos="7920"/>
              </w:tabs>
              <w:jc w:val="both"/>
            </w:pPr>
            <w:r>
              <w:t xml:space="preserve">                -</w:t>
            </w:r>
          </w:p>
        </w:tc>
        <w:tc>
          <w:tcPr>
            <w:tcW w:w="2160" w:type="dxa"/>
            <w:shd w:val="clear" w:color="auto" w:fill="auto"/>
          </w:tcPr>
          <w:p w:rsidR="00BD4013" w:rsidRPr="003A7970" w:rsidRDefault="00170B88" w:rsidP="00F97DBC">
            <w:pPr>
              <w:tabs>
                <w:tab w:val="left" w:pos="720"/>
                <w:tab w:val="right" w:pos="5040"/>
                <w:tab w:val="right" w:pos="6480"/>
                <w:tab w:val="right" w:pos="7920"/>
              </w:tabs>
              <w:jc w:val="both"/>
              <w:rPr>
                <w:u w:val="single"/>
              </w:rPr>
            </w:pPr>
            <w:r>
              <w:t xml:space="preserve">        </w:t>
            </w:r>
            <w:r w:rsidR="009C307D">
              <w:t xml:space="preserve"> </w:t>
            </w:r>
            <w:r w:rsidR="00F97DBC">
              <w:t>7</w:t>
            </w:r>
            <w:r w:rsidRPr="003A7970">
              <w:rPr>
                <w:u w:val="single"/>
              </w:rPr>
              <w:t>,</w:t>
            </w:r>
            <w:r w:rsidR="00F97DBC">
              <w:rPr>
                <w:u w:val="single"/>
              </w:rPr>
              <w:t>531</w:t>
            </w:r>
          </w:p>
        </w:tc>
      </w:tr>
      <w:tr w:rsidR="00BD4013" w:rsidTr="003A7970">
        <w:tc>
          <w:tcPr>
            <w:tcW w:w="1717" w:type="dxa"/>
            <w:shd w:val="clear" w:color="auto" w:fill="auto"/>
          </w:tcPr>
          <w:p w:rsidR="00BD4013" w:rsidRDefault="00BD4013" w:rsidP="003A7970">
            <w:pPr>
              <w:tabs>
                <w:tab w:val="left" w:pos="-198"/>
                <w:tab w:val="right" w:pos="5040"/>
                <w:tab w:val="right" w:pos="6480"/>
                <w:tab w:val="right" w:pos="7920"/>
              </w:tabs>
              <w:ind w:left="-108"/>
              <w:jc w:val="both"/>
            </w:pPr>
          </w:p>
        </w:tc>
        <w:tc>
          <w:tcPr>
            <w:tcW w:w="2153" w:type="dxa"/>
            <w:shd w:val="clear" w:color="auto" w:fill="auto"/>
          </w:tcPr>
          <w:p w:rsidR="00BD4013" w:rsidRPr="003A7970" w:rsidRDefault="00BE54F1" w:rsidP="00F97DBC">
            <w:pPr>
              <w:tabs>
                <w:tab w:val="left" w:pos="720"/>
                <w:tab w:val="right" w:pos="5040"/>
                <w:tab w:val="right" w:pos="6480"/>
                <w:tab w:val="right" w:pos="7920"/>
              </w:tabs>
              <w:jc w:val="both"/>
              <w:rPr>
                <w:u w:val="single"/>
              </w:rPr>
            </w:pPr>
            <w:r w:rsidRPr="00BE54F1">
              <w:t xml:space="preserve">        </w:t>
            </w:r>
            <w:r w:rsidR="005E3EAF">
              <w:t>30</w:t>
            </w:r>
            <w:r w:rsidRPr="003A7970">
              <w:rPr>
                <w:u w:val="single"/>
              </w:rPr>
              <w:t>,</w:t>
            </w:r>
            <w:r w:rsidR="005E3EAF">
              <w:rPr>
                <w:u w:val="single"/>
              </w:rPr>
              <w:t>2</w:t>
            </w:r>
            <w:r w:rsidR="00F97DBC">
              <w:rPr>
                <w:u w:val="single"/>
              </w:rPr>
              <w:t>38</w:t>
            </w:r>
          </w:p>
        </w:tc>
        <w:tc>
          <w:tcPr>
            <w:tcW w:w="2430" w:type="dxa"/>
            <w:shd w:val="clear" w:color="auto" w:fill="auto"/>
          </w:tcPr>
          <w:p w:rsidR="00BD4013" w:rsidRPr="00BE54F1" w:rsidRDefault="00BE54F1" w:rsidP="003A7970">
            <w:pPr>
              <w:tabs>
                <w:tab w:val="left" w:pos="720"/>
                <w:tab w:val="right" w:pos="5040"/>
                <w:tab w:val="right" w:pos="6480"/>
                <w:tab w:val="right" w:pos="7920"/>
              </w:tabs>
              <w:jc w:val="both"/>
            </w:pPr>
            <w:r w:rsidRPr="00BE54F1">
              <w:t xml:space="preserve">                -</w:t>
            </w:r>
          </w:p>
        </w:tc>
        <w:tc>
          <w:tcPr>
            <w:tcW w:w="2160" w:type="dxa"/>
            <w:shd w:val="clear" w:color="auto" w:fill="auto"/>
          </w:tcPr>
          <w:p w:rsidR="00BD4013" w:rsidRPr="003A7970" w:rsidRDefault="00BE54F1" w:rsidP="00F97DBC">
            <w:pPr>
              <w:tabs>
                <w:tab w:val="left" w:pos="720"/>
                <w:tab w:val="right" w:pos="5040"/>
                <w:tab w:val="right" w:pos="6480"/>
                <w:tab w:val="right" w:pos="7920"/>
              </w:tabs>
              <w:jc w:val="both"/>
              <w:rPr>
                <w:u w:val="single"/>
              </w:rPr>
            </w:pPr>
            <w:r w:rsidRPr="00BE54F1">
              <w:t xml:space="preserve">       </w:t>
            </w:r>
            <w:r w:rsidR="005E3EAF">
              <w:t>30</w:t>
            </w:r>
            <w:r w:rsidR="00234883" w:rsidRPr="003A7970">
              <w:rPr>
                <w:u w:val="single"/>
              </w:rPr>
              <w:t>,</w:t>
            </w:r>
            <w:r w:rsidR="005E3EAF">
              <w:rPr>
                <w:u w:val="single"/>
              </w:rPr>
              <w:t>2</w:t>
            </w:r>
            <w:r w:rsidR="00F97DBC">
              <w:rPr>
                <w:u w:val="single"/>
              </w:rPr>
              <w:t>38</w:t>
            </w:r>
          </w:p>
        </w:tc>
      </w:tr>
      <w:tr w:rsidR="00BD4013" w:rsidTr="003A7970">
        <w:tc>
          <w:tcPr>
            <w:tcW w:w="1717" w:type="dxa"/>
            <w:shd w:val="clear" w:color="auto" w:fill="auto"/>
          </w:tcPr>
          <w:p w:rsidR="00BD4013" w:rsidRDefault="00BD4013" w:rsidP="003A7970">
            <w:pPr>
              <w:tabs>
                <w:tab w:val="left" w:pos="-198"/>
                <w:tab w:val="right" w:pos="5040"/>
                <w:tab w:val="right" w:pos="6480"/>
                <w:tab w:val="right" w:pos="7920"/>
              </w:tabs>
              <w:ind w:left="-108"/>
              <w:jc w:val="both"/>
            </w:pPr>
          </w:p>
        </w:tc>
        <w:tc>
          <w:tcPr>
            <w:tcW w:w="2153" w:type="dxa"/>
            <w:shd w:val="clear" w:color="auto" w:fill="auto"/>
          </w:tcPr>
          <w:p w:rsidR="00BD4013" w:rsidRDefault="00BD4013" w:rsidP="003A7970">
            <w:pPr>
              <w:tabs>
                <w:tab w:val="left" w:pos="720"/>
                <w:tab w:val="right" w:pos="5040"/>
                <w:tab w:val="right" w:pos="6480"/>
                <w:tab w:val="right" w:pos="7920"/>
              </w:tabs>
              <w:jc w:val="both"/>
            </w:pPr>
          </w:p>
        </w:tc>
        <w:tc>
          <w:tcPr>
            <w:tcW w:w="2430" w:type="dxa"/>
            <w:shd w:val="clear" w:color="auto" w:fill="auto"/>
          </w:tcPr>
          <w:p w:rsidR="00BD4013" w:rsidRDefault="00BD4013" w:rsidP="003A7970">
            <w:pPr>
              <w:tabs>
                <w:tab w:val="left" w:pos="720"/>
                <w:tab w:val="right" w:pos="5040"/>
                <w:tab w:val="right" w:pos="6480"/>
                <w:tab w:val="right" w:pos="7920"/>
              </w:tabs>
              <w:jc w:val="both"/>
            </w:pPr>
          </w:p>
        </w:tc>
        <w:tc>
          <w:tcPr>
            <w:tcW w:w="2160" w:type="dxa"/>
            <w:shd w:val="clear" w:color="auto" w:fill="auto"/>
          </w:tcPr>
          <w:p w:rsidR="00BD4013" w:rsidRDefault="00BD4013" w:rsidP="003A7970">
            <w:pPr>
              <w:tabs>
                <w:tab w:val="left" w:pos="720"/>
                <w:tab w:val="right" w:pos="5040"/>
                <w:tab w:val="right" w:pos="6480"/>
                <w:tab w:val="right" w:pos="7920"/>
              </w:tabs>
              <w:jc w:val="both"/>
            </w:pPr>
          </w:p>
        </w:tc>
      </w:tr>
    </w:tbl>
    <w:p w:rsidR="00494AB2" w:rsidRDefault="00494AB2">
      <w:pPr>
        <w:tabs>
          <w:tab w:val="left" w:pos="0"/>
          <w:tab w:val="right" w:pos="5040"/>
          <w:tab w:val="right" w:pos="6480"/>
          <w:tab w:val="right" w:pos="7920"/>
        </w:tabs>
        <w:jc w:val="both"/>
      </w:pPr>
      <w:r>
        <w:t xml:space="preserve"> </w:t>
      </w:r>
    </w:p>
    <w:p w:rsidR="009E69BF" w:rsidRDefault="00494AB2">
      <w:pPr>
        <w:tabs>
          <w:tab w:val="left" w:pos="0"/>
          <w:tab w:val="right" w:pos="5040"/>
          <w:tab w:val="right" w:pos="6480"/>
          <w:tab w:val="right" w:pos="7920"/>
        </w:tabs>
        <w:jc w:val="both"/>
      </w:pPr>
      <w:r>
        <w:t xml:space="preserve">           All borrowings are denominated in Ringgit </w:t>
      </w:r>
      <w:smartTag w:uri="urn:schemas-microsoft-com:office:smarttags" w:element="country-region">
        <w:smartTag w:uri="urn:schemas-microsoft-com:office:smarttags" w:element="place">
          <w:r>
            <w:t>Malaysia</w:t>
          </w:r>
        </w:smartTag>
      </w:smartTag>
      <w:r>
        <w:t>.</w:t>
      </w:r>
    </w:p>
    <w:p w:rsidR="00267DBE" w:rsidRDefault="00267DBE" w:rsidP="00F5120F">
      <w:pPr>
        <w:jc w:val="both"/>
        <w:rPr>
          <w:b/>
          <w:bCs/>
        </w:rPr>
      </w:pPr>
    </w:p>
    <w:p w:rsidR="009E69BF" w:rsidRDefault="00037AE8" w:rsidP="00F5120F">
      <w:pPr>
        <w:jc w:val="both"/>
        <w:rPr>
          <w:b/>
          <w:bCs/>
        </w:rPr>
      </w:pPr>
      <w:r>
        <w:rPr>
          <w:b/>
          <w:bCs/>
        </w:rPr>
        <w:t>23.</w:t>
      </w:r>
      <w:r w:rsidR="00AD1319">
        <w:rPr>
          <w:b/>
          <w:bCs/>
        </w:rPr>
        <w:tab/>
      </w:r>
      <w:r w:rsidR="008854DF">
        <w:rPr>
          <w:b/>
          <w:bCs/>
        </w:rPr>
        <w:t>Financial Instruments - derivatives</w:t>
      </w:r>
    </w:p>
    <w:p w:rsidR="009E69BF" w:rsidRDefault="009E69BF">
      <w:pPr>
        <w:jc w:val="both"/>
        <w:rPr>
          <w:b/>
          <w:bCs/>
        </w:rPr>
      </w:pPr>
    </w:p>
    <w:p w:rsidR="007808C3" w:rsidRDefault="008854DF" w:rsidP="00A7547B">
      <w:pPr>
        <w:ind w:left="720"/>
        <w:jc w:val="both"/>
      </w:pPr>
      <w:r>
        <w:t>As at 3</w:t>
      </w:r>
      <w:r w:rsidR="00584534">
        <w:t xml:space="preserve">0 </w:t>
      </w:r>
      <w:r w:rsidR="007B462D">
        <w:t>September</w:t>
      </w:r>
      <w:r w:rsidR="00B939CE">
        <w:t xml:space="preserve"> </w:t>
      </w:r>
      <w:r>
        <w:t>201</w:t>
      </w:r>
      <w:r w:rsidR="00D94256">
        <w:t>5</w:t>
      </w:r>
      <w:r>
        <w:t xml:space="preserve">, the foreign currency contracts which have been entered into by the Group to hedge its foreign </w:t>
      </w:r>
      <w:r w:rsidR="00B11822">
        <w:t xml:space="preserve">currency sales </w:t>
      </w:r>
      <w:r>
        <w:t>are as follows: -</w:t>
      </w:r>
    </w:p>
    <w:p w:rsidR="006E2487" w:rsidRDefault="006E2487" w:rsidP="00A12E2F">
      <w:pPr>
        <w:ind w:left="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800"/>
        <w:gridCol w:w="1793"/>
      </w:tblGrid>
      <w:tr w:rsidR="006E2487" w:rsidTr="003A7970">
        <w:tc>
          <w:tcPr>
            <w:tcW w:w="3960" w:type="dxa"/>
            <w:shd w:val="clear" w:color="auto" w:fill="auto"/>
          </w:tcPr>
          <w:p w:rsidR="008854DF" w:rsidRDefault="006E2487" w:rsidP="003A7970">
            <w:pPr>
              <w:jc w:val="both"/>
            </w:pPr>
            <w:r>
              <w:t>Forward Foreign Currency Contracts</w:t>
            </w:r>
          </w:p>
        </w:tc>
        <w:tc>
          <w:tcPr>
            <w:tcW w:w="1800" w:type="dxa"/>
            <w:shd w:val="clear" w:color="auto" w:fill="auto"/>
          </w:tcPr>
          <w:p w:rsidR="008854DF" w:rsidRDefault="008854DF" w:rsidP="003A7970">
            <w:pPr>
              <w:jc w:val="center"/>
            </w:pPr>
            <w:r>
              <w:t>Contract Value(RM’000)</w:t>
            </w:r>
          </w:p>
        </w:tc>
        <w:tc>
          <w:tcPr>
            <w:tcW w:w="1800" w:type="dxa"/>
            <w:shd w:val="clear" w:color="auto" w:fill="auto"/>
          </w:tcPr>
          <w:p w:rsidR="008854DF" w:rsidRDefault="008854DF" w:rsidP="003A7970">
            <w:pPr>
              <w:jc w:val="center"/>
            </w:pPr>
            <w:r>
              <w:t>Fair Value(RM’000)</w:t>
            </w:r>
          </w:p>
        </w:tc>
        <w:tc>
          <w:tcPr>
            <w:tcW w:w="1793" w:type="dxa"/>
            <w:shd w:val="clear" w:color="auto" w:fill="auto"/>
          </w:tcPr>
          <w:p w:rsidR="008854DF" w:rsidRDefault="008854DF" w:rsidP="003A7970">
            <w:pPr>
              <w:jc w:val="center"/>
            </w:pPr>
            <w:r>
              <w:t>Changes in Fair Value(RM’000)</w:t>
            </w:r>
          </w:p>
        </w:tc>
      </w:tr>
      <w:tr w:rsidR="006E2487" w:rsidTr="003A7970">
        <w:tc>
          <w:tcPr>
            <w:tcW w:w="3960" w:type="dxa"/>
            <w:shd w:val="clear" w:color="auto" w:fill="auto"/>
          </w:tcPr>
          <w:p w:rsidR="008854DF" w:rsidRDefault="006E2487" w:rsidP="003A7970">
            <w:pPr>
              <w:jc w:val="both"/>
            </w:pPr>
            <w:r>
              <w:t>US Dollar – less than l year</w:t>
            </w:r>
          </w:p>
        </w:tc>
        <w:tc>
          <w:tcPr>
            <w:tcW w:w="1800" w:type="dxa"/>
            <w:shd w:val="clear" w:color="auto" w:fill="auto"/>
          </w:tcPr>
          <w:p w:rsidR="008854DF" w:rsidRDefault="006E2487" w:rsidP="00DF21CB">
            <w:pPr>
              <w:jc w:val="both"/>
            </w:pPr>
            <w:r>
              <w:t xml:space="preserve">     </w:t>
            </w:r>
            <w:r w:rsidR="00D72082">
              <w:t xml:space="preserve">  </w:t>
            </w:r>
            <w:r w:rsidR="00DF21CB">
              <w:t>23</w:t>
            </w:r>
            <w:r w:rsidR="00B939CE">
              <w:t>,</w:t>
            </w:r>
            <w:r w:rsidR="00DF21CB">
              <w:t>071</w:t>
            </w:r>
          </w:p>
        </w:tc>
        <w:tc>
          <w:tcPr>
            <w:tcW w:w="1800" w:type="dxa"/>
            <w:shd w:val="clear" w:color="auto" w:fill="auto"/>
          </w:tcPr>
          <w:p w:rsidR="008854DF" w:rsidRDefault="006E2487" w:rsidP="00C5373D">
            <w:pPr>
              <w:jc w:val="both"/>
            </w:pPr>
            <w:r>
              <w:t xml:space="preserve"> </w:t>
            </w:r>
            <w:r w:rsidR="00F53C28">
              <w:t xml:space="preserve">   </w:t>
            </w:r>
            <w:r w:rsidR="00D72082">
              <w:t xml:space="preserve">  </w:t>
            </w:r>
            <w:r w:rsidR="00C5373D">
              <w:t>25</w:t>
            </w:r>
            <w:r w:rsidR="00D72082">
              <w:t>,</w:t>
            </w:r>
            <w:r w:rsidR="00C5373D">
              <w:t>565</w:t>
            </w:r>
          </w:p>
        </w:tc>
        <w:tc>
          <w:tcPr>
            <w:tcW w:w="1793" w:type="dxa"/>
            <w:shd w:val="clear" w:color="auto" w:fill="auto"/>
          </w:tcPr>
          <w:p w:rsidR="008854DF" w:rsidRDefault="006E2487" w:rsidP="00C5373D">
            <w:pPr>
              <w:jc w:val="both"/>
            </w:pPr>
            <w:r>
              <w:t xml:space="preserve"> </w:t>
            </w:r>
            <w:r w:rsidR="00C3706F">
              <w:t xml:space="preserve">    </w:t>
            </w:r>
            <w:r w:rsidR="00D72082">
              <w:t xml:space="preserve">  </w:t>
            </w:r>
            <w:r w:rsidR="00C5373D">
              <w:t>2,494</w:t>
            </w:r>
          </w:p>
        </w:tc>
      </w:tr>
    </w:tbl>
    <w:p w:rsidR="00A12E2F" w:rsidRDefault="00A12E2F" w:rsidP="00A12E2F">
      <w:pPr>
        <w:ind w:left="720"/>
        <w:jc w:val="both"/>
      </w:pPr>
      <w:r>
        <w:t>.</w:t>
      </w:r>
    </w:p>
    <w:p w:rsidR="009E69BF" w:rsidRDefault="00B11822" w:rsidP="00B11822">
      <w:pPr>
        <w:ind w:left="720"/>
        <w:jc w:val="both"/>
      </w:pPr>
      <w:r>
        <w:t xml:space="preserve">Derivative financial assets and liabilities are initially recognised, and subsequently measured at fair value. The fair values of derivatives are determined based on market data </w:t>
      </w:r>
      <w:r w:rsidR="00494AB2">
        <w:t>(primarily exchange rate) to cal</w:t>
      </w:r>
      <w:r>
        <w:t>culate the present value of all estimated flows associated with each derivative at the balance sheet date. The Group’s derivatives are principally in respect of forward foreign currency contracts used to hedge its foreign currency sales.</w:t>
      </w:r>
    </w:p>
    <w:p w:rsidR="00B11822" w:rsidRDefault="00B11822" w:rsidP="00B11822">
      <w:pPr>
        <w:ind w:left="720"/>
        <w:jc w:val="both"/>
      </w:pPr>
    </w:p>
    <w:p w:rsidR="00B11822" w:rsidRDefault="00B11822" w:rsidP="00B11822">
      <w:pPr>
        <w:ind w:left="720"/>
        <w:jc w:val="both"/>
      </w:pPr>
      <w:r>
        <w:t>Forward foreign currency contracts of the Group have been measured at fair value and the changes in the fair value are recognised in profit or loss.</w:t>
      </w:r>
    </w:p>
    <w:p w:rsidR="00F97DBC" w:rsidRDefault="00F97DBC" w:rsidP="00B11822">
      <w:pPr>
        <w:ind w:left="720"/>
        <w:jc w:val="both"/>
      </w:pPr>
    </w:p>
    <w:p w:rsidR="00F97DBC" w:rsidRDefault="00F97DBC" w:rsidP="00B11822">
      <w:pPr>
        <w:ind w:left="720"/>
        <w:jc w:val="both"/>
      </w:pPr>
    </w:p>
    <w:p w:rsidR="00F97DBC" w:rsidRDefault="00F97DBC" w:rsidP="00B11822">
      <w:pPr>
        <w:ind w:left="720"/>
        <w:jc w:val="both"/>
      </w:pPr>
    </w:p>
    <w:p w:rsidR="0075006F" w:rsidRDefault="00E35F2C" w:rsidP="00F5120F">
      <w:pPr>
        <w:jc w:val="both"/>
      </w:pPr>
      <w:r>
        <w:t>-continue</w:t>
      </w:r>
      <w:r w:rsidR="005C5597">
        <w:t>d</w:t>
      </w:r>
    </w:p>
    <w:p w:rsidR="00E35F2C" w:rsidRDefault="00E35F2C" w:rsidP="00F5120F">
      <w:pPr>
        <w:jc w:val="both"/>
      </w:pPr>
    </w:p>
    <w:p w:rsidR="00850763" w:rsidRDefault="00850763" w:rsidP="00F5120F">
      <w:pPr>
        <w:jc w:val="both"/>
        <w:rPr>
          <w:b/>
          <w:bCs/>
        </w:rPr>
      </w:pPr>
      <w:r>
        <w:t>2</w:t>
      </w:r>
      <w:r w:rsidR="00F5120F">
        <w:t>4</w:t>
      </w:r>
      <w:r>
        <w:t>.</w:t>
      </w:r>
      <w:r>
        <w:tab/>
      </w:r>
      <w:r w:rsidRPr="00850763">
        <w:rPr>
          <w:b/>
          <w:bCs/>
        </w:rPr>
        <w:t xml:space="preserve">Other </w:t>
      </w:r>
      <w:r w:rsidR="008A6C29">
        <w:rPr>
          <w:b/>
          <w:bCs/>
        </w:rPr>
        <w:t xml:space="preserve">Operating </w:t>
      </w:r>
      <w:r w:rsidRPr="00850763">
        <w:rPr>
          <w:b/>
          <w:bCs/>
        </w:rPr>
        <w:t>Income</w:t>
      </w:r>
      <w:proofErr w:type="gramStart"/>
      <w:r w:rsidR="008A6C29">
        <w:rPr>
          <w:b/>
          <w:bCs/>
        </w:rPr>
        <w:t>/(</w:t>
      </w:r>
      <w:proofErr w:type="gramEnd"/>
      <w:r w:rsidR="008A6C29">
        <w:rPr>
          <w:b/>
          <w:bCs/>
        </w:rPr>
        <w:t>expenses)</w:t>
      </w:r>
    </w:p>
    <w:p w:rsidR="00850763" w:rsidRDefault="00850763" w:rsidP="006D13D2">
      <w:pPr>
        <w:jc w:val="both"/>
        <w:rPr>
          <w:b/>
          <w:bCs/>
        </w:rPr>
      </w:pPr>
    </w:p>
    <w:p w:rsidR="00037AE8" w:rsidRDefault="00037AE8" w:rsidP="006D13D2">
      <w:pPr>
        <w:jc w:val="both"/>
        <w:rPr>
          <w:b/>
          <w:bCs/>
        </w:rPr>
      </w:pPr>
      <w:bookmarkStart w:id="0" w:name="_GoBack"/>
      <w:bookmarkEnd w:id="0"/>
    </w:p>
    <w:p w:rsidR="00850763" w:rsidRDefault="00850763" w:rsidP="006D13D2">
      <w:pPr>
        <w:jc w:val="both"/>
      </w:pPr>
      <w:r>
        <w:rPr>
          <w:b/>
          <w:bCs/>
        </w:rPr>
        <w:tab/>
      </w:r>
      <w:r w:rsidRPr="00850763">
        <w:t>Ot</w:t>
      </w:r>
      <w:r>
        <w:t xml:space="preserve">her </w:t>
      </w:r>
      <w:r w:rsidR="008A6C29">
        <w:t xml:space="preserve">operating </w:t>
      </w:r>
      <w:r>
        <w:t>income</w:t>
      </w:r>
      <w:proofErr w:type="gramStart"/>
      <w:r w:rsidR="008A6C29">
        <w:t>/(</w:t>
      </w:r>
      <w:proofErr w:type="gramEnd"/>
      <w:r w:rsidR="008A6C29">
        <w:t>expenses)</w:t>
      </w:r>
      <w:r>
        <w:t xml:space="preserve"> comprises the followings: -</w:t>
      </w:r>
    </w:p>
    <w:p w:rsidR="00BE648E" w:rsidRDefault="00BE648E" w:rsidP="006D13D2">
      <w:pPr>
        <w:jc w:val="both"/>
      </w:pPr>
    </w:p>
    <w:p w:rsidR="008A6C29" w:rsidRDefault="008A6C29" w:rsidP="008A6C29">
      <w:pPr>
        <w:jc w:val="both"/>
      </w:pPr>
      <w:r>
        <w:tab/>
        <w:t xml:space="preserve">                                                                            Current Quarter            Year to Date</w:t>
      </w:r>
    </w:p>
    <w:p w:rsidR="008A6C29" w:rsidRDefault="008A6C29" w:rsidP="00FF18E0">
      <w:pPr>
        <w:jc w:val="both"/>
      </w:pPr>
      <w:r>
        <w:t xml:space="preserve">                                                                                        </w:t>
      </w:r>
      <w:r w:rsidR="0028676D">
        <w:t xml:space="preserve"> </w:t>
      </w:r>
      <w:r>
        <w:t xml:space="preserve"> </w:t>
      </w:r>
      <w:r w:rsidR="00FF18E0">
        <w:t xml:space="preserve"> </w:t>
      </w:r>
      <w:r>
        <w:t xml:space="preserve"> 3</w:t>
      </w:r>
      <w:r w:rsidR="0028676D">
        <w:t xml:space="preserve">0 </w:t>
      </w:r>
      <w:r w:rsidR="007B462D">
        <w:t xml:space="preserve">Sept        </w:t>
      </w:r>
      <w:r w:rsidR="00FF18E0">
        <w:t xml:space="preserve">    </w:t>
      </w:r>
      <w:r w:rsidR="001F4D81">
        <w:t xml:space="preserve"> </w:t>
      </w:r>
      <w:r w:rsidR="00FF18E0">
        <w:t xml:space="preserve">  </w:t>
      </w:r>
      <w:r w:rsidR="00D94256">
        <w:t xml:space="preserve">   </w:t>
      </w:r>
      <w:r w:rsidR="007B462D">
        <w:t xml:space="preserve">     </w:t>
      </w:r>
      <w:r w:rsidR="009D31A7">
        <w:t xml:space="preserve"> </w:t>
      </w:r>
      <w:r>
        <w:t>3</w:t>
      </w:r>
      <w:r w:rsidR="0028676D">
        <w:t xml:space="preserve">0 </w:t>
      </w:r>
      <w:r w:rsidR="007B462D">
        <w:t>Sept</w:t>
      </w:r>
      <w:r>
        <w:t xml:space="preserve">                                                             </w:t>
      </w:r>
    </w:p>
    <w:p w:rsidR="008A6C29" w:rsidRDefault="008A6C29" w:rsidP="00FF18E0">
      <w:pPr>
        <w:jc w:val="both"/>
      </w:pPr>
      <w:r>
        <w:t xml:space="preserve">                                                                          </w:t>
      </w:r>
      <w:r>
        <w:tab/>
      </w:r>
      <w:r>
        <w:tab/>
      </w:r>
      <w:r>
        <w:tab/>
      </w:r>
      <w:r>
        <w:tab/>
      </w:r>
      <w:r>
        <w:tab/>
      </w:r>
      <w:r>
        <w:tab/>
        <w:t xml:space="preserve">     </w:t>
      </w:r>
      <w:r>
        <w:tab/>
      </w:r>
      <w:r>
        <w:tab/>
      </w:r>
      <w:r>
        <w:tab/>
      </w:r>
      <w:r>
        <w:tab/>
      </w:r>
      <w:r>
        <w:tab/>
      </w:r>
      <w:r>
        <w:tab/>
      </w:r>
      <w:r>
        <w:tab/>
      </w:r>
      <w:r>
        <w:tab/>
        <w:t xml:space="preserve">       201</w:t>
      </w:r>
      <w:r w:rsidR="00D94256">
        <w:t>5</w:t>
      </w:r>
      <w:r>
        <w:t xml:space="preserve">         201</w:t>
      </w:r>
      <w:r w:rsidR="00D94256">
        <w:t>4</w:t>
      </w:r>
      <w:r>
        <w:t xml:space="preserve">         201</w:t>
      </w:r>
      <w:r w:rsidR="00D94256">
        <w:t>5</w:t>
      </w:r>
      <w:r>
        <w:t xml:space="preserve">          201</w:t>
      </w:r>
      <w:r w:rsidR="00D94256">
        <w:t>4</w:t>
      </w:r>
    </w:p>
    <w:p w:rsidR="008A6C29" w:rsidRDefault="008A6C29" w:rsidP="008A6C29">
      <w:pPr>
        <w:jc w:val="both"/>
      </w:pPr>
      <w:r>
        <w:t xml:space="preserve">                                                                                      RM’000    </w:t>
      </w:r>
      <w:proofErr w:type="spellStart"/>
      <w:r>
        <w:t>RM’000</w:t>
      </w:r>
      <w:proofErr w:type="spellEnd"/>
      <w:r>
        <w:t xml:space="preserve">    </w:t>
      </w:r>
      <w:proofErr w:type="spellStart"/>
      <w:r>
        <w:t>RM’000</w:t>
      </w:r>
      <w:proofErr w:type="spellEnd"/>
      <w:r>
        <w:t xml:space="preserve">    </w:t>
      </w:r>
      <w:proofErr w:type="spellStart"/>
      <w:r>
        <w:t>RM’000</w:t>
      </w:r>
      <w:proofErr w:type="spellEnd"/>
      <w:r>
        <w:t xml:space="preserve"> </w:t>
      </w:r>
    </w:p>
    <w:p w:rsidR="0033518B" w:rsidRDefault="0033518B" w:rsidP="006D13D2">
      <w:pPr>
        <w:jc w:val="both"/>
      </w:pPr>
    </w:p>
    <w:p w:rsidR="008A6C29" w:rsidRDefault="000F350D" w:rsidP="006D13D2">
      <w:pPr>
        <w:jc w:val="both"/>
      </w:pPr>
      <w:r>
        <w:tab/>
        <w:t>Foreign exchange gain</w:t>
      </w:r>
    </w:p>
    <w:p w:rsidR="008A6C29" w:rsidRDefault="008A6C29" w:rsidP="00FF18E0">
      <w:pPr>
        <w:jc w:val="both"/>
      </w:pPr>
      <w:r>
        <w:t xml:space="preserve">            - realised                                                              </w:t>
      </w:r>
      <w:r w:rsidR="00C5373D">
        <w:t>3</w:t>
      </w:r>
      <w:r w:rsidR="00CE378A">
        <w:t>,</w:t>
      </w:r>
      <w:r w:rsidR="00C5373D">
        <w:t>102</w:t>
      </w:r>
      <w:r w:rsidR="00C24902">
        <w:t xml:space="preserve"> </w:t>
      </w:r>
      <w:r w:rsidR="00E30133">
        <w:t xml:space="preserve">  </w:t>
      </w:r>
      <w:r w:rsidR="00C24902">
        <w:t xml:space="preserve"> </w:t>
      </w:r>
      <w:r>
        <w:t xml:space="preserve">    </w:t>
      </w:r>
      <w:r w:rsidR="001F4D81">
        <w:t xml:space="preserve"> </w:t>
      </w:r>
      <w:r w:rsidR="00C24902">
        <w:t xml:space="preserve"> </w:t>
      </w:r>
      <w:r w:rsidR="00CE378A">
        <w:t xml:space="preserve"> </w:t>
      </w:r>
      <w:r w:rsidR="00C5373D">
        <w:t xml:space="preserve"> 577</w:t>
      </w:r>
      <w:r>
        <w:t xml:space="preserve"> </w:t>
      </w:r>
      <w:r w:rsidR="00176D0D">
        <w:t xml:space="preserve">   </w:t>
      </w:r>
      <w:r>
        <w:t xml:space="preserve">   </w:t>
      </w:r>
      <w:r w:rsidR="00FF18E0">
        <w:t xml:space="preserve"> </w:t>
      </w:r>
      <w:r w:rsidR="00C5373D">
        <w:t xml:space="preserve"> 7</w:t>
      </w:r>
      <w:r w:rsidR="00CE378A">
        <w:t>,</w:t>
      </w:r>
      <w:r w:rsidR="00C5373D">
        <w:t>035</w:t>
      </w:r>
      <w:r w:rsidR="00A626A0">
        <w:t xml:space="preserve">  </w:t>
      </w:r>
      <w:r w:rsidR="00176D0D">
        <w:t xml:space="preserve">    </w:t>
      </w:r>
      <w:r w:rsidR="0096156C">
        <w:t xml:space="preserve"> </w:t>
      </w:r>
      <w:r w:rsidR="00E30133">
        <w:t xml:space="preserve"> </w:t>
      </w:r>
      <w:r w:rsidR="00C5373D">
        <w:t xml:space="preserve"> </w:t>
      </w:r>
      <w:r w:rsidR="00022430">
        <w:t xml:space="preserve">  </w:t>
      </w:r>
      <w:r w:rsidR="00C5373D">
        <w:t>986</w:t>
      </w:r>
    </w:p>
    <w:p w:rsidR="00E30133" w:rsidRDefault="008A6C29" w:rsidP="00823DCF">
      <w:pPr>
        <w:jc w:val="both"/>
      </w:pPr>
      <w:r>
        <w:t xml:space="preserve">            - </w:t>
      </w:r>
      <w:proofErr w:type="gramStart"/>
      <w:r>
        <w:t>unrealised</w:t>
      </w:r>
      <w:proofErr w:type="gramEnd"/>
      <w:r>
        <w:t xml:space="preserve">                             </w:t>
      </w:r>
      <w:r w:rsidR="00C24902">
        <w:t xml:space="preserve">           </w:t>
      </w:r>
      <w:r>
        <w:t xml:space="preserve"> </w:t>
      </w:r>
      <w:r w:rsidR="00E30133">
        <w:t xml:space="preserve">                  </w:t>
      </w:r>
      <w:r w:rsidR="00C5373D">
        <w:t xml:space="preserve">  403</w:t>
      </w:r>
      <w:r w:rsidR="001F4D81">
        <w:t xml:space="preserve"> </w:t>
      </w:r>
      <w:r w:rsidR="00FF18E0">
        <w:t xml:space="preserve"> </w:t>
      </w:r>
      <w:r w:rsidR="00C24902">
        <w:t xml:space="preserve">     </w:t>
      </w:r>
      <w:r w:rsidR="00CE378A">
        <w:t xml:space="preserve">   </w:t>
      </w:r>
      <w:r w:rsidR="00275C7B">
        <w:t xml:space="preserve"> </w:t>
      </w:r>
      <w:r w:rsidR="00C5373D">
        <w:t xml:space="preserve"> 970</w:t>
      </w:r>
      <w:r w:rsidR="00823DCF">
        <w:t xml:space="preserve">       </w:t>
      </w:r>
      <w:r w:rsidR="00C24902">
        <w:t xml:space="preserve"> </w:t>
      </w:r>
      <w:r w:rsidR="00275C7B">
        <w:t xml:space="preserve"> </w:t>
      </w:r>
      <w:r w:rsidR="00C5373D">
        <w:t xml:space="preserve">   249</w:t>
      </w:r>
      <w:r w:rsidR="00C24902">
        <w:t xml:space="preserve"> </w:t>
      </w:r>
      <w:r w:rsidR="001F4D81">
        <w:t xml:space="preserve">     </w:t>
      </w:r>
      <w:r w:rsidR="00CD77E8">
        <w:t xml:space="preserve"> </w:t>
      </w:r>
      <w:r w:rsidR="00C24902">
        <w:t xml:space="preserve"> </w:t>
      </w:r>
      <w:r w:rsidR="00CE378A">
        <w:t xml:space="preserve"> </w:t>
      </w:r>
      <w:r w:rsidR="00275C7B">
        <w:t xml:space="preserve"> </w:t>
      </w:r>
      <w:r w:rsidR="00CE378A">
        <w:t xml:space="preserve"> </w:t>
      </w:r>
      <w:r w:rsidR="00C5373D">
        <w:t>952</w:t>
      </w:r>
    </w:p>
    <w:p w:rsidR="00823DCF" w:rsidRDefault="00E30133" w:rsidP="00823DCF">
      <w:pPr>
        <w:jc w:val="both"/>
      </w:pPr>
      <w:r>
        <w:t xml:space="preserve">           </w:t>
      </w:r>
      <w:r w:rsidR="008A6C29">
        <w:t>Gain</w:t>
      </w:r>
      <w:proofErr w:type="gramStart"/>
      <w:r w:rsidR="008A6C29">
        <w:t>/(</w:t>
      </w:r>
      <w:proofErr w:type="gramEnd"/>
      <w:r w:rsidR="008A6C29">
        <w:t>loss) on disposal of property</w:t>
      </w:r>
      <w:r w:rsidR="00823DCF">
        <w:t xml:space="preserve">                                                                            </w:t>
      </w:r>
    </w:p>
    <w:p w:rsidR="008A6C29" w:rsidRDefault="008A6C29" w:rsidP="00FF18E0">
      <w:pPr>
        <w:jc w:val="both"/>
      </w:pPr>
      <w:r>
        <w:t xml:space="preserve"> </w:t>
      </w:r>
      <w:r>
        <w:tab/>
        <w:t xml:space="preserve">  </w:t>
      </w:r>
      <w:proofErr w:type="gramStart"/>
      <w:r>
        <w:t>plant</w:t>
      </w:r>
      <w:proofErr w:type="gramEnd"/>
      <w:r>
        <w:t xml:space="preserve"> &amp; equipment                                       </w:t>
      </w:r>
      <w:r w:rsidR="00176D0D">
        <w:t xml:space="preserve">    </w:t>
      </w:r>
      <w:r w:rsidR="00CE378A">
        <w:t xml:space="preserve">       </w:t>
      </w:r>
      <w:r w:rsidR="00022430">
        <w:t xml:space="preserve"> </w:t>
      </w:r>
      <w:r w:rsidR="00C5373D">
        <w:t>-</w:t>
      </w:r>
      <w:r w:rsidR="00176D0D">
        <w:t xml:space="preserve">        </w:t>
      </w:r>
      <w:r w:rsidR="00245CD7">
        <w:t xml:space="preserve">  </w:t>
      </w:r>
      <w:r w:rsidR="00176D0D">
        <w:t xml:space="preserve">  </w:t>
      </w:r>
      <w:r w:rsidR="00CE378A">
        <w:t xml:space="preserve">  </w:t>
      </w:r>
      <w:r w:rsidR="00C5373D">
        <w:t>188</w:t>
      </w:r>
      <w:r w:rsidR="00176D0D">
        <w:t xml:space="preserve">    </w:t>
      </w:r>
      <w:r w:rsidR="00BC47EA">
        <w:t xml:space="preserve">   </w:t>
      </w:r>
      <w:r w:rsidR="00E30133">
        <w:t xml:space="preserve"> </w:t>
      </w:r>
      <w:r w:rsidR="00176D0D">
        <w:t xml:space="preserve"> </w:t>
      </w:r>
      <w:r w:rsidR="00022430">
        <w:t xml:space="preserve"> </w:t>
      </w:r>
      <w:r w:rsidR="00C5373D">
        <w:t xml:space="preserve">  </w:t>
      </w:r>
      <w:r w:rsidR="00022430">
        <w:t xml:space="preserve">  </w:t>
      </w:r>
      <w:r w:rsidR="00275C7B">
        <w:t>7</w:t>
      </w:r>
      <w:r w:rsidR="00176D0D">
        <w:t xml:space="preserve"> </w:t>
      </w:r>
      <w:r w:rsidR="00E30133">
        <w:t xml:space="preserve"> </w:t>
      </w:r>
      <w:r w:rsidR="00176D0D">
        <w:t xml:space="preserve">      </w:t>
      </w:r>
      <w:r w:rsidR="00823DCF">
        <w:t xml:space="preserve"> </w:t>
      </w:r>
      <w:r w:rsidR="00C5373D">
        <w:t xml:space="preserve"> </w:t>
      </w:r>
      <w:r w:rsidR="00275C7B">
        <w:t xml:space="preserve"> </w:t>
      </w:r>
      <w:r w:rsidR="00176D0D">
        <w:t xml:space="preserve"> </w:t>
      </w:r>
      <w:r w:rsidR="00022430">
        <w:t xml:space="preserve"> </w:t>
      </w:r>
      <w:r w:rsidR="00C5373D">
        <w:t>262</w:t>
      </w:r>
    </w:p>
    <w:p w:rsidR="00C5373D" w:rsidRDefault="001F4D81" w:rsidP="00FF18E0">
      <w:pPr>
        <w:jc w:val="both"/>
      </w:pPr>
      <w:r>
        <w:t xml:space="preserve">            Insurance claim                                        </w:t>
      </w:r>
      <w:r w:rsidR="00C5373D">
        <w:t xml:space="preserve">   </w:t>
      </w:r>
      <w:r w:rsidR="00CE378A">
        <w:t xml:space="preserve"> </w:t>
      </w:r>
      <w:r w:rsidR="00C5373D">
        <w:t xml:space="preserve">             </w:t>
      </w:r>
      <w:r w:rsidR="00022430">
        <w:t xml:space="preserve"> -</w:t>
      </w:r>
      <w:r>
        <w:t xml:space="preserve">         </w:t>
      </w:r>
      <w:r w:rsidR="00C5373D">
        <w:t xml:space="preserve">     900  </w:t>
      </w:r>
      <w:r>
        <w:t xml:space="preserve">  </w:t>
      </w:r>
      <w:r w:rsidR="00BC47EA">
        <w:t xml:space="preserve"> </w:t>
      </w:r>
      <w:r>
        <w:t xml:space="preserve">    </w:t>
      </w:r>
      <w:r w:rsidR="00022430">
        <w:t xml:space="preserve">     - </w:t>
      </w:r>
      <w:r>
        <w:t xml:space="preserve">         </w:t>
      </w:r>
      <w:r w:rsidR="00C5373D">
        <w:t>7</w:t>
      </w:r>
      <w:r w:rsidR="00275C7B">
        <w:t>,</w:t>
      </w:r>
      <w:r w:rsidR="00C5373D">
        <w:t>163</w:t>
      </w:r>
      <w:r>
        <w:t xml:space="preserve"> </w:t>
      </w:r>
    </w:p>
    <w:p w:rsidR="008A6C29" w:rsidRDefault="001F4D81" w:rsidP="00FF18E0">
      <w:pPr>
        <w:jc w:val="both"/>
      </w:pPr>
      <w:r>
        <w:t xml:space="preserve">    </w:t>
      </w:r>
      <w:r w:rsidR="008A6C29">
        <w:t xml:space="preserve"> </w:t>
      </w:r>
      <w:r w:rsidR="008A6C29">
        <w:tab/>
        <w:t xml:space="preserve">Interest income                                                       </w:t>
      </w:r>
      <w:r w:rsidR="00FF18E0">
        <w:t xml:space="preserve"> </w:t>
      </w:r>
      <w:r w:rsidR="00C5373D">
        <w:t>369</w:t>
      </w:r>
      <w:r w:rsidR="008A6C29">
        <w:t xml:space="preserve"> </w:t>
      </w:r>
      <w:r w:rsidR="00FF18E0">
        <w:t xml:space="preserve">  </w:t>
      </w:r>
      <w:r w:rsidR="008A6C29">
        <w:t xml:space="preserve">    </w:t>
      </w:r>
      <w:r w:rsidR="00245CD7">
        <w:t xml:space="preserve">   </w:t>
      </w:r>
      <w:r w:rsidR="008A6C29">
        <w:t xml:space="preserve"> </w:t>
      </w:r>
      <w:r w:rsidR="00CE378A">
        <w:t xml:space="preserve"> 2</w:t>
      </w:r>
      <w:r w:rsidR="00275C7B">
        <w:t>4</w:t>
      </w:r>
      <w:r w:rsidR="00C5373D">
        <w:t>3</w:t>
      </w:r>
      <w:r w:rsidR="008A6C29">
        <w:t xml:space="preserve">       </w:t>
      </w:r>
      <w:r w:rsidR="00022430">
        <w:t xml:space="preserve">  </w:t>
      </w:r>
      <w:r w:rsidR="00275C7B">
        <w:t xml:space="preserve"> </w:t>
      </w:r>
      <w:r w:rsidR="00C5373D">
        <w:t>852</w:t>
      </w:r>
      <w:r>
        <w:t xml:space="preserve"> </w:t>
      </w:r>
      <w:r w:rsidR="008A6C29">
        <w:t xml:space="preserve">      </w:t>
      </w:r>
      <w:r w:rsidR="00CE378A">
        <w:t xml:space="preserve"> </w:t>
      </w:r>
      <w:r w:rsidR="00823DCF">
        <w:t xml:space="preserve"> </w:t>
      </w:r>
      <w:r w:rsidR="008A6C29">
        <w:t xml:space="preserve">  </w:t>
      </w:r>
      <w:r w:rsidR="00C5373D">
        <w:t xml:space="preserve"> 719</w:t>
      </w:r>
      <w:r w:rsidR="00FF18E0">
        <w:t xml:space="preserve"> </w:t>
      </w:r>
    </w:p>
    <w:p w:rsidR="008A6C29" w:rsidRDefault="008A6C29" w:rsidP="0096156C">
      <w:pPr>
        <w:jc w:val="both"/>
      </w:pPr>
      <w:r>
        <w:tab/>
      </w:r>
      <w:r w:rsidR="0096156C">
        <w:t>F</w:t>
      </w:r>
      <w:r w:rsidR="000F350D">
        <w:t xml:space="preserve">air value </w:t>
      </w:r>
      <w:r>
        <w:t>(loss) on derivative</w:t>
      </w:r>
    </w:p>
    <w:p w:rsidR="00CD77E8" w:rsidRDefault="008A6C29" w:rsidP="001F4D81">
      <w:pPr>
        <w:ind w:left="720" w:firstLine="120"/>
        <w:jc w:val="both"/>
      </w:pPr>
      <w:r>
        <w:t xml:space="preserve">Financial instruments                 </w:t>
      </w:r>
      <w:r w:rsidR="001F4D81">
        <w:t xml:space="preserve">   </w:t>
      </w:r>
      <w:r>
        <w:t xml:space="preserve">     </w:t>
      </w:r>
      <w:r w:rsidR="001F4D81">
        <w:t xml:space="preserve">             </w:t>
      </w:r>
      <w:r w:rsidR="00E30133">
        <w:t xml:space="preserve"> </w:t>
      </w:r>
      <w:r w:rsidR="001F4D81">
        <w:t>(</w:t>
      </w:r>
      <w:r w:rsidR="00C5373D">
        <w:t>1,916</w:t>
      </w:r>
      <w:r w:rsidR="001F4D81">
        <w:t>)</w:t>
      </w:r>
      <w:r>
        <w:t xml:space="preserve"> </w:t>
      </w:r>
      <w:r w:rsidR="00FF18E0">
        <w:t xml:space="preserve">   </w:t>
      </w:r>
      <w:r>
        <w:t xml:space="preserve">  </w:t>
      </w:r>
      <w:r w:rsidR="001F4D81">
        <w:t xml:space="preserve">   </w:t>
      </w:r>
      <w:r w:rsidR="00245CD7">
        <w:t xml:space="preserve"> </w:t>
      </w:r>
      <w:r w:rsidR="00C5373D">
        <w:t xml:space="preserve"> </w:t>
      </w:r>
      <w:r w:rsidR="00275C7B">
        <w:t>(</w:t>
      </w:r>
      <w:r w:rsidR="00C5373D">
        <w:t>88</w:t>
      </w:r>
      <w:r w:rsidR="00275C7B">
        <w:t>)</w:t>
      </w:r>
      <w:r>
        <w:t xml:space="preserve">   </w:t>
      </w:r>
      <w:r w:rsidR="00022430">
        <w:t xml:space="preserve">   </w:t>
      </w:r>
      <w:r w:rsidR="00CE378A">
        <w:t>(</w:t>
      </w:r>
      <w:r w:rsidR="00C5373D">
        <w:t>2,494</w:t>
      </w:r>
      <w:r w:rsidR="00CE378A">
        <w:t xml:space="preserve">)   </w:t>
      </w:r>
      <w:r>
        <w:t xml:space="preserve">    </w:t>
      </w:r>
      <w:r w:rsidR="00022430">
        <w:t xml:space="preserve"> </w:t>
      </w:r>
      <w:r w:rsidR="00275C7B">
        <w:t xml:space="preserve"> </w:t>
      </w:r>
      <w:r w:rsidR="00022430">
        <w:t xml:space="preserve">  </w:t>
      </w:r>
      <w:r w:rsidR="00C5373D">
        <w:t>(67)</w:t>
      </w:r>
      <w:r w:rsidR="00C24902">
        <w:t xml:space="preserve"> </w:t>
      </w:r>
    </w:p>
    <w:p w:rsidR="00245CD7" w:rsidRDefault="008A6C29" w:rsidP="00FF18E0">
      <w:pPr>
        <w:jc w:val="both"/>
      </w:pPr>
      <w:r>
        <w:tab/>
        <w:t xml:space="preserve">Sundry revenue                                    </w:t>
      </w:r>
      <w:r w:rsidR="00FF18E0">
        <w:t xml:space="preserve">               </w:t>
      </w:r>
      <w:r>
        <w:t xml:space="preserve">   </w:t>
      </w:r>
      <w:r w:rsidR="00245CD7">
        <w:t xml:space="preserve"> </w:t>
      </w:r>
      <w:r w:rsidR="00CD77E8">
        <w:t xml:space="preserve"> </w:t>
      </w:r>
      <w:r w:rsidR="00275C7B">
        <w:t xml:space="preserve"> </w:t>
      </w:r>
      <w:r w:rsidR="00C5373D">
        <w:t>63</w:t>
      </w:r>
      <w:r>
        <w:t xml:space="preserve">     </w:t>
      </w:r>
      <w:r w:rsidR="00245CD7">
        <w:t xml:space="preserve">  </w:t>
      </w:r>
      <w:r>
        <w:t xml:space="preserve"> </w:t>
      </w:r>
      <w:r w:rsidR="00275C7B">
        <w:t xml:space="preserve"> </w:t>
      </w:r>
      <w:r>
        <w:t xml:space="preserve"> </w:t>
      </w:r>
      <w:r w:rsidR="00CD77E8">
        <w:t xml:space="preserve">  </w:t>
      </w:r>
      <w:r w:rsidR="00275C7B">
        <w:t xml:space="preserve">  </w:t>
      </w:r>
      <w:r w:rsidR="00C5373D">
        <w:t>45</w:t>
      </w:r>
      <w:r>
        <w:t xml:space="preserve">        </w:t>
      </w:r>
      <w:r w:rsidR="00A626A0">
        <w:t xml:space="preserve"> </w:t>
      </w:r>
      <w:r w:rsidR="00CE378A">
        <w:t xml:space="preserve"> </w:t>
      </w:r>
      <w:r w:rsidR="00275C7B">
        <w:t xml:space="preserve"> 2</w:t>
      </w:r>
      <w:r w:rsidR="00C5373D">
        <w:t>68</w:t>
      </w:r>
      <w:r>
        <w:t xml:space="preserve">       </w:t>
      </w:r>
      <w:r w:rsidR="00245CD7">
        <w:t xml:space="preserve"> </w:t>
      </w:r>
      <w:r w:rsidR="00823DCF">
        <w:t xml:space="preserve"> </w:t>
      </w:r>
      <w:r w:rsidR="00022430">
        <w:t xml:space="preserve">  </w:t>
      </w:r>
      <w:r w:rsidR="00A626A0">
        <w:t xml:space="preserve"> </w:t>
      </w:r>
      <w:r w:rsidR="00275C7B">
        <w:t>2</w:t>
      </w:r>
      <w:r w:rsidR="00C5373D">
        <w:t>89</w:t>
      </w:r>
      <w:r w:rsidR="00245CD7">
        <w:t xml:space="preserve">                                        </w:t>
      </w:r>
    </w:p>
    <w:p w:rsidR="00CD77E8" w:rsidRDefault="00CD77E8" w:rsidP="00245CD7">
      <w:pPr>
        <w:jc w:val="both"/>
      </w:pPr>
      <w:r>
        <w:tab/>
        <w:t>Rental income</w:t>
      </w:r>
      <w:r w:rsidR="00245CD7">
        <w:t xml:space="preserve">            </w:t>
      </w:r>
      <w:r>
        <w:t xml:space="preserve">                                             </w:t>
      </w:r>
      <w:r w:rsidR="00CE378A">
        <w:t xml:space="preserve"> </w:t>
      </w:r>
      <w:r w:rsidR="00275C7B">
        <w:t xml:space="preserve"> 8</w:t>
      </w:r>
      <w:r w:rsidR="00C5373D">
        <w:t>2</w:t>
      </w:r>
      <w:r>
        <w:t xml:space="preserve">            </w:t>
      </w:r>
      <w:r w:rsidR="00022430">
        <w:t>2</w:t>
      </w:r>
      <w:r w:rsidR="00C5373D">
        <w:t>66</w:t>
      </w:r>
      <w:r>
        <w:t xml:space="preserve">        </w:t>
      </w:r>
      <w:r w:rsidR="00CE378A">
        <w:t xml:space="preserve"> </w:t>
      </w:r>
      <w:r w:rsidR="00022430">
        <w:t xml:space="preserve"> </w:t>
      </w:r>
      <w:r w:rsidR="00275C7B">
        <w:t xml:space="preserve"> </w:t>
      </w:r>
      <w:r w:rsidR="00C5373D">
        <w:t>361</w:t>
      </w:r>
      <w:r w:rsidR="00022430">
        <w:t xml:space="preserve">  </w:t>
      </w:r>
      <w:r>
        <w:t xml:space="preserve">     </w:t>
      </w:r>
      <w:r w:rsidR="00022430">
        <w:t xml:space="preserve">  </w:t>
      </w:r>
      <w:r>
        <w:t xml:space="preserve"> </w:t>
      </w:r>
      <w:r w:rsidR="00CE378A">
        <w:t xml:space="preserve"> </w:t>
      </w:r>
      <w:r>
        <w:t xml:space="preserve"> </w:t>
      </w:r>
      <w:r w:rsidR="00C5373D">
        <w:t>750</w:t>
      </w:r>
    </w:p>
    <w:p w:rsidR="008A6C29" w:rsidRDefault="00CD77E8" w:rsidP="00245CD7">
      <w:pPr>
        <w:jc w:val="both"/>
      </w:pPr>
      <w:r>
        <w:t xml:space="preserve">            </w:t>
      </w:r>
      <w:r w:rsidR="00245CD7">
        <w:t xml:space="preserve">                                                                        ------------------------------------------------------</w:t>
      </w:r>
    </w:p>
    <w:p w:rsidR="0075006F" w:rsidRDefault="00176D0D" w:rsidP="00C24902">
      <w:pPr>
        <w:ind w:left="4320"/>
        <w:jc w:val="both"/>
      </w:pPr>
      <w:r>
        <w:t xml:space="preserve">              </w:t>
      </w:r>
      <w:r w:rsidR="00A626A0">
        <w:t xml:space="preserve">  </w:t>
      </w:r>
      <w:r w:rsidR="008968F6">
        <w:t xml:space="preserve"> </w:t>
      </w:r>
      <w:r w:rsidR="00C5373D">
        <w:t>2,103</w:t>
      </w:r>
      <w:r w:rsidR="00BC47EA">
        <w:t xml:space="preserve">   </w:t>
      </w:r>
      <w:r w:rsidR="00E30133">
        <w:t xml:space="preserve"> </w:t>
      </w:r>
      <w:r w:rsidR="00A626A0">
        <w:t xml:space="preserve">  </w:t>
      </w:r>
      <w:r w:rsidR="00CE378A">
        <w:t xml:space="preserve">  </w:t>
      </w:r>
      <w:r w:rsidR="00C24902">
        <w:t xml:space="preserve">  </w:t>
      </w:r>
      <w:r>
        <w:t xml:space="preserve"> </w:t>
      </w:r>
      <w:r w:rsidR="00C5373D">
        <w:t>3</w:t>
      </w:r>
      <w:r w:rsidR="00CE378A">
        <w:t>,</w:t>
      </w:r>
      <w:r w:rsidR="00C5373D">
        <w:t>101</w:t>
      </w:r>
      <w:r w:rsidR="00A626A0">
        <w:t xml:space="preserve">     </w:t>
      </w:r>
      <w:r w:rsidR="00CD77E8">
        <w:t xml:space="preserve"> </w:t>
      </w:r>
      <w:r w:rsidR="00022430">
        <w:t xml:space="preserve"> </w:t>
      </w:r>
      <w:r w:rsidR="00C5373D">
        <w:t>6</w:t>
      </w:r>
      <w:r w:rsidR="00A626A0">
        <w:t>,</w:t>
      </w:r>
      <w:r w:rsidR="00C5373D">
        <w:t>278</w:t>
      </w:r>
      <w:r w:rsidR="00A626A0">
        <w:t xml:space="preserve">  </w:t>
      </w:r>
      <w:r w:rsidR="00C24902">
        <w:t xml:space="preserve"> </w:t>
      </w:r>
      <w:r>
        <w:t xml:space="preserve"> </w:t>
      </w:r>
      <w:r w:rsidR="00022430">
        <w:t xml:space="preserve"> </w:t>
      </w:r>
      <w:r>
        <w:t xml:space="preserve"> </w:t>
      </w:r>
      <w:r w:rsidR="00022430">
        <w:t xml:space="preserve"> </w:t>
      </w:r>
      <w:r w:rsidR="00C5373D">
        <w:t>11</w:t>
      </w:r>
      <w:r w:rsidR="00C24902">
        <w:t>,</w:t>
      </w:r>
      <w:r w:rsidR="00C5373D">
        <w:t>054</w:t>
      </w:r>
      <w:r w:rsidR="00C24902">
        <w:tab/>
        <w:t xml:space="preserve">          </w:t>
      </w:r>
      <w:r w:rsidR="00C24902">
        <w:tab/>
        <w:t>================================</w:t>
      </w:r>
      <w:r w:rsidR="00C24902">
        <w:tab/>
      </w:r>
      <w:r w:rsidR="00245CD7">
        <w:t xml:space="preserve"> </w:t>
      </w:r>
      <w:r w:rsidR="00C24902">
        <w:t xml:space="preserve">    </w:t>
      </w:r>
    </w:p>
    <w:p w:rsidR="0075006F" w:rsidRDefault="0075006F" w:rsidP="00C24902">
      <w:pPr>
        <w:ind w:left="4320"/>
        <w:jc w:val="both"/>
      </w:pPr>
    </w:p>
    <w:p w:rsidR="008A6C29" w:rsidRDefault="00C24902" w:rsidP="00C24902">
      <w:pPr>
        <w:ind w:left="4320"/>
        <w:jc w:val="both"/>
      </w:pPr>
      <w:r>
        <w:t xml:space="preserve">       </w:t>
      </w:r>
      <w:r w:rsidR="00245CD7">
        <w:t xml:space="preserve"> </w:t>
      </w:r>
      <w:r>
        <w:t xml:space="preserve">                       </w:t>
      </w:r>
    </w:p>
    <w:p w:rsidR="008A6C29" w:rsidRDefault="00F5120F" w:rsidP="00037AE8">
      <w:pPr>
        <w:jc w:val="both"/>
      </w:pPr>
      <w:r>
        <w:t>25.</w:t>
      </w:r>
      <w:r>
        <w:tab/>
      </w:r>
      <w:r w:rsidRPr="00057388">
        <w:rPr>
          <w:b/>
          <w:bCs/>
        </w:rPr>
        <w:t>Operating Expenses</w:t>
      </w:r>
    </w:p>
    <w:p w:rsidR="00176D0D" w:rsidRDefault="00057388" w:rsidP="00037AE8">
      <w:pPr>
        <w:jc w:val="both"/>
      </w:pPr>
      <w:r>
        <w:tab/>
      </w:r>
    </w:p>
    <w:p w:rsidR="00057388" w:rsidRDefault="00057388" w:rsidP="00037AE8">
      <w:pPr>
        <w:jc w:val="both"/>
      </w:pPr>
      <w:r>
        <w:tab/>
        <w:t>The operating expenses included the following charges: -</w:t>
      </w:r>
    </w:p>
    <w:p w:rsidR="00BE648E" w:rsidRDefault="00BE648E" w:rsidP="00037AE8">
      <w:pPr>
        <w:jc w:val="both"/>
      </w:pPr>
    </w:p>
    <w:p w:rsidR="00057388" w:rsidRDefault="00057388" w:rsidP="00037AE8">
      <w:pPr>
        <w:jc w:val="both"/>
      </w:pPr>
      <w:r>
        <w:tab/>
      </w:r>
      <w:r>
        <w:tab/>
      </w:r>
      <w:r>
        <w:tab/>
      </w:r>
      <w:r>
        <w:tab/>
      </w:r>
      <w:r>
        <w:tab/>
      </w:r>
      <w:r>
        <w:tab/>
      </w:r>
      <w:r>
        <w:tab/>
        <w:t>Current Quarter            Year to Date</w:t>
      </w:r>
    </w:p>
    <w:p w:rsidR="00057388" w:rsidRDefault="00057388" w:rsidP="00037AE8">
      <w:pPr>
        <w:jc w:val="both"/>
      </w:pPr>
      <w:r>
        <w:t xml:space="preserve">                                                                                  </w:t>
      </w:r>
      <w:r w:rsidR="00FF18E0">
        <w:t xml:space="preserve">  </w:t>
      </w:r>
      <w:r>
        <w:t xml:space="preserve">   </w:t>
      </w:r>
      <w:r w:rsidR="007B462D">
        <w:t xml:space="preserve">  </w:t>
      </w:r>
      <w:r>
        <w:t>3</w:t>
      </w:r>
      <w:r w:rsidR="0028676D">
        <w:t xml:space="preserve">0 </w:t>
      </w:r>
      <w:r w:rsidR="007B462D">
        <w:t>Sept</w:t>
      </w:r>
      <w:r w:rsidR="00FF18E0">
        <w:t xml:space="preserve"> </w:t>
      </w:r>
      <w:r w:rsidR="001F4D81">
        <w:t xml:space="preserve">   </w:t>
      </w:r>
      <w:r w:rsidR="00FF18E0">
        <w:t xml:space="preserve">        </w:t>
      </w:r>
      <w:r>
        <w:t xml:space="preserve">              3</w:t>
      </w:r>
      <w:r w:rsidR="0028676D">
        <w:t xml:space="preserve">0 </w:t>
      </w:r>
      <w:r w:rsidR="007B462D">
        <w:t>Sept</w:t>
      </w:r>
      <w:r>
        <w:t xml:space="preserve">                                                                   </w:t>
      </w:r>
    </w:p>
    <w:p w:rsidR="00057388" w:rsidRDefault="00057388" w:rsidP="00037AE8">
      <w:pPr>
        <w:jc w:val="both"/>
      </w:pPr>
      <w:r>
        <w:t xml:space="preserve">                                                                                 </w:t>
      </w:r>
      <w:r>
        <w:tab/>
      </w:r>
      <w:r>
        <w:tab/>
      </w:r>
      <w:r>
        <w:tab/>
      </w:r>
      <w:r>
        <w:tab/>
      </w:r>
      <w:r>
        <w:tab/>
      </w:r>
      <w:r>
        <w:tab/>
        <w:t xml:space="preserve">     </w:t>
      </w:r>
      <w:r>
        <w:tab/>
      </w:r>
      <w:r>
        <w:tab/>
      </w:r>
      <w:r>
        <w:tab/>
      </w:r>
      <w:r>
        <w:tab/>
      </w:r>
      <w:r>
        <w:tab/>
      </w:r>
      <w:r>
        <w:tab/>
      </w:r>
      <w:r>
        <w:tab/>
      </w:r>
      <w:r>
        <w:tab/>
        <w:t xml:space="preserve">       201</w:t>
      </w:r>
      <w:r w:rsidR="00D94256">
        <w:t>5</w:t>
      </w:r>
      <w:r>
        <w:t xml:space="preserve">         201</w:t>
      </w:r>
      <w:r w:rsidR="00D94256">
        <w:t>4</w:t>
      </w:r>
      <w:r>
        <w:t xml:space="preserve">         201</w:t>
      </w:r>
      <w:r w:rsidR="00D94256">
        <w:t>5</w:t>
      </w:r>
      <w:r>
        <w:t xml:space="preserve">          201</w:t>
      </w:r>
      <w:r w:rsidR="00D94256">
        <w:t>4</w:t>
      </w:r>
    </w:p>
    <w:p w:rsidR="00F5120F" w:rsidRDefault="00057388" w:rsidP="00037AE8">
      <w:pPr>
        <w:jc w:val="both"/>
      </w:pPr>
      <w:r>
        <w:t xml:space="preserve">                                                                                      RM’000    </w:t>
      </w:r>
      <w:proofErr w:type="spellStart"/>
      <w:r>
        <w:t>RM’000</w:t>
      </w:r>
      <w:proofErr w:type="spellEnd"/>
      <w:r>
        <w:t xml:space="preserve">    </w:t>
      </w:r>
      <w:proofErr w:type="spellStart"/>
      <w:r>
        <w:t>RM’000</w:t>
      </w:r>
      <w:proofErr w:type="spellEnd"/>
      <w:r>
        <w:t xml:space="preserve">    </w:t>
      </w:r>
      <w:proofErr w:type="spellStart"/>
      <w:r>
        <w:t>RM’000</w:t>
      </w:r>
      <w:proofErr w:type="spellEnd"/>
    </w:p>
    <w:p w:rsidR="0096156C" w:rsidRDefault="0096156C" w:rsidP="00037AE8">
      <w:pPr>
        <w:jc w:val="both"/>
      </w:pPr>
    </w:p>
    <w:p w:rsidR="00057388" w:rsidRDefault="00057388" w:rsidP="00037AE8">
      <w:pPr>
        <w:jc w:val="both"/>
      </w:pPr>
      <w:r>
        <w:tab/>
        <w:t>Depreciation &amp; amortisation</w:t>
      </w:r>
      <w:r w:rsidR="0096156C">
        <w:t xml:space="preserve">                             1,</w:t>
      </w:r>
      <w:r w:rsidR="005E3EAF">
        <w:t>6</w:t>
      </w:r>
      <w:r w:rsidR="00C5373D">
        <w:t>50</w:t>
      </w:r>
      <w:r w:rsidR="0096156C">
        <w:tab/>
        <w:t xml:space="preserve">         1,</w:t>
      </w:r>
      <w:r w:rsidR="00C5373D">
        <w:t>617</w:t>
      </w:r>
      <w:r w:rsidR="00A31076">
        <w:t xml:space="preserve"> </w:t>
      </w:r>
      <w:r w:rsidR="0096156C">
        <w:t xml:space="preserve">   </w:t>
      </w:r>
      <w:r w:rsidR="00A31076">
        <w:t xml:space="preserve">  </w:t>
      </w:r>
      <w:r w:rsidR="0096156C">
        <w:t xml:space="preserve"> </w:t>
      </w:r>
      <w:r w:rsidR="00A31076">
        <w:t xml:space="preserve"> </w:t>
      </w:r>
      <w:r w:rsidR="00564686">
        <w:t xml:space="preserve">  </w:t>
      </w:r>
      <w:r w:rsidR="00167399">
        <w:t>5</w:t>
      </w:r>
      <w:r w:rsidR="0096156C">
        <w:t>,</w:t>
      </w:r>
      <w:r w:rsidR="00167399">
        <w:t>031</w:t>
      </w:r>
      <w:r w:rsidR="0096156C">
        <w:t xml:space="preserve">       </w:t>
      </w:r>
      <w:r w:rsidR="0059701F">
        <w:t xml:space="preserve"> </w:t>
      </w:r>
      <w:r w:rsidR="0096156C">
        <w:t xml:space="preserve"> </w:t>
      </w:r>
      <w:r w:rsidR="00823DCF">
        <w:t xml:space="preserve"> </w:t>
      </w:r>
      <w:r w:rsidR="00167399">
        <w:t>4</w:t>
      </w:r>
      <w:r w:rsidR="00A626A0">
        <w:t>,</w:t>
      </w:r>
      <w:r w:rsidR="00167399">
        <w:t>490</w:t>
      </w:r>
      <w:r w:rsidR="0096156C">
        <w:tab/>
      </w:r>
    </w:p>
    <w:p w:rsidR="00057388" w:rsidRDefault="00057388" w:rsidP="00037AE8">
      <w:pPr>
        <w:jc w:val="both"/>
      </w:pPr>
      <w:r>
        <w:tab/>
        <w:t>Interest expenses</w:t>
      </w:r>
      <w:r w:rsidR="0096156C">
        <w:t xml:space="preserve">                                                  </w:t>
      </w:r>
      <w:r w:rsidR="00C5373D">
        <w:t>320</w:t>
      </w:r>
      <w:r w:rsidR="0096156C">
        <w:t xml:space="preserve">            </w:t>
      </w:r>
      <w:r w:rsidR="00AE60B5">
        <w:t xml:space="preserve"> </w:t>
      </w:r>
      <w:r w:rsidR="00167399">
        <w:t>299</w:t>
      </w:r>
      <w:r w:rsidR="0096156C">
        <w:t xml:space="preserve">       </w:t>
      </w:r>
      <w:r w:rsidR="00AE60B5">
        <w:t xml:space="preserve">  </w:t>
      </w:r>
      <w:r w:rsidR="00E03E61">
        <w:t xml:space="preserve"> </w:t>
      </w:r>
      <w:r w:rsidR="005E3EAF">
        <w:t xml:space="preserve"> </w:t>
      </w:r>
      <w:r w:rsidR="00AE60B5">
        <w:t xml:space="preserve"> </w:t>
      </w:r>
      <w:r w:rsidR="00167399">
        <w:t>876</w:t>
      </w:r>
      <w:r w:rsidR="00564686">
        <w:t xml:space="preserve"> </w:t>
      </w:r>
      <w:r w:rsidR="0096156C">
        <w:t xml:space="preserve">        </w:t>
      </w:r>
      <w:r w:rsidR="00A626A0">
        <w:t xml:space="preserve">  </w:t>
      </w:r>
      <w:r w:rsidR="0096156C">
        <w:t xml:space="preserve"> </w:t>
      </w:r>
      <w:r w:rsidR="00BE5062">
        <w:t xml:space="preserve"> </w:t>
      </w:r>
      <w:r w:rsidR="00167399">
        <w:t xml:space="preserve"> 864</w:t>
      </w:r>
    </w:p>
    <w:p w:rsidR="00BE5062" w:rsidRDefault="00BE5062" w:rsidP="00037AE8">
      <w:pPr>
        <w:jc w:val="both"/>
      </w:pPr>
      <w:r>
        <w:t xml:space="preserve">            Property, plant &amp; equipment written off          </w:t>
      </w:r>
      <w:r w:rsidR="00A729E6">
        <w:t xml:space="preserve"> </w:t>
      </w:r>
      <w:r w:rsidR="00E03E61">
        <w:t xml:space="preserve">     -</w:t>
      </w:r>
      <w:r>
        <w:t xml:space="preserve">            </w:t>
      </w:r>
      <w:r w:rsidR="00167399">
        <w:t xml:space="preserve">     -</w:t>
      </w:r>
      <w:r>
        <w:t xml:space="preserve">      </w:t>
      </w:r>
      <w:r w:rsidR="00951E76">
        <w:t xml:space="preserve"> </w:t>
      </w:r>
      <w:r>
        <w:t xml:space="preserve"> </w:t>
      </w:r>
      <w:r w:rsidR="00AE60B5">
        <w:t xml:space="preserve">    </w:t>
      </w:r>
      <w:r w:rsidR="00167399">
        <w:t xml:space="preserve">    </w:t>
      </w:r>
      <w:r w:rsidR="00AE60B5">
        <w:t>-</w:t>
      </w:r>
      <w:r>
        <w:t xml:space="preserve">   </w:t>
      </w:r>
      <w:r w:rsidR="00BC47EA">
        <w:t xml:space="preserve">   </w:t>
      </w:r>
      <w:r w:rsidR="005E3EAF">
        <w:t xml:space="preserve">  </w:t>
      </w:r>
      <w:r w:rsidR="00BC47EA">
        <w:t xml:space="preserve"> </w:t>
      </w:r>
      <w:r>
        <w:t xml:space="preserve">     </w:t>
      </w:r>
      <w:r w:rsidR="00A31076">
        <w:t xml:space="preserve"> </w:t>
      </w:r>
      <w:r w:rsidR="002C2BB1">
        <w:t>2,4</w:t>
      </w:r>
      <w:r w:rsidR="00167399">
        <w:t>89</w:t>
      </w:r>
      <w:r w:rsidR="00AE60B5">
        <w:t xml:space="preserve">     </w:t>
      </w:r>
      <w:r>
        <w:t xml:space="preserve"> </w:t>
      </w:r>
    </w:p>
    <w:p w:rsidR="002C2BB1" w:rsidRDefault="002C2BB1" w:rsidP="00037AE8">
      <w:pPr>
        <w:jc w:val="both"/>
      </w:pPr>
      <w:r>
        <w:tab/>
        <w:t xml:space="preserve">Inventories written off                                                         </w:t>
      </w:r>
      <w:r w:rsidR="00167399">
        <w:t xml:space="preserve">     -</w:t>
      </w:r>
      <w:r>
        <w:t xml:space="preserve">                </w:t>
      </w:r>
      <w:r w:rsidR="00167399">
        <w:t>-</w:t>
      </w:r>
      <w:r>
        <w:t xml:space="preserve">     </w:t>
      </w:r>
      <w:r w:rsidR="005E3EAF">
        <w:t xml:space="preserve"> </w:t>
      </w:r>
      <w:r>
        <w:t xml:space="preserve">       </w:t>
      </w:r>
      <w:r w:rsidR="00167399">
        <w:t xml:space="preserve">  </w:t>
      </w:r>
      <w:r>
        <w:t>1,138</w:t>
      </w:r>
    </w:p>
    <w:p w:rsidR="00EA4817" w:rsidRDefault="000F350D" w:rsidP="00037AE8">
      <w:pPr>
        <w:jc w:val="both"/>
      </w:pPr>
      <w:r>
        <w:t xml:space="preserve">                                                                                     </w:t>
      </w:r>
      <w:r w:rsidR="0096156C">
        <w:t xml:space="preserve">============================== </w:t>
      </w:r>
    </w:p>
    <w:p w:rsidR="00EA4817" w:rsidRDefault="00EA4817" w:rsidP="00037AE8">
      <w:pPr>
        <w:jc w:val="both"/>
      </w:pPr>
    </w:p>
    <w:p w:rsidR="00E35F2C" w:rsidRDefault="00E35F2C" w:rsidP="00FF18E0">
      <w:pPr>
        <w:jc w:val="both"/>
      </w:pPr>
    </w:p>
    <w:p w:rsidR="00E35F2C" w:rsidRDefault="00E35F2C" w:rsidP="00FF18E0">
      <w:pPr>
        <w:jc w:val="both"/>
      </w:pPr>
    </w:p>
    <w:p w:rsidR="00E35F2C" w:rsidRDefault="00E35F2C" w:rsidP="00FF18E0">
      <w:pPr>
        <w:jc w:val="both"/>
      </w:pPr>
    </w:p>
    <w:p w:rsidR="00E35F2C" w:rsidRDefault="00E35F2C" w:rsidP="00FF18E0">
      <w:pPr>
        <w:jc w:val="both"/>
      </w:pPr>
    </w:p>
    <w:p w:rsidR="00E35F2C" w:rsidRDefault="00E35F2C" w:rsidP="00FF18E0">
      <w:pPr>
        <w:jc w:val="both"/>
      </w:pPr>
      <w:r>
        <w:lastRenderedPageBreak/>
        <w:t>-continue</w:t>
      </w:r>
      <w:r w:rsidR="005C5597">
        <w:t>d</w:t>
      </w:r>
    </w:p>
    <w:p w:rsidR="00E35F2C" w:rsidRDefault="00E35F2C" w:rsidP="00FF18E0">
      <w:pPr>
        <w:jc w:val="both"/>
      </w:pPr>
    </w:p>
    <w:p w:rsidR="00467FE9" w:rsidRDefault="00467FE9" w:rsidP="00741D8C">
      <w:pPr>
        <w:jc w:val="both"/>
      </w:pPr>
      <w:r w:rsidRPr="00467FE9">
        <w:rPr>
          <w:b/>
          <w:bCs/>
        </w:rPr>
        <w:t>2</w:t>
      </w:r>
      <w:r w:rsidR="00445002">
        <w:rPr>
          <w:b/>
          <w:bCs/>
        </w:rPr>
        <w:t>6</w:t>
      </w:r>
      <w:r w:rsidR="00741D8C">
        <w:rPr>
          <w:b/>
          <w:bCs/>
        </w:rPr>
        <w:t>.</w:t>
      </w:r>
      <w:r w:rsidR="00741D8C">
        <w:rPr>
          <w:b/>
          <w:bCs/>
        </w:rPr>
        <w:tab/>
        <w:t>Realise</w:t>
      </w:r>
      <w:r w:rsidRPr="00467FE9">
        <w:rPr>
          <w:b/>
          <w:bCs/>
        </w:rPr>
        <w:t>d and Unrealised Profits</w:t>
      </w:r>
      <w:r>
        <w:t xml:space="preserve"> </w:t>
      </w:r>
    </w:p>
    <w:p w:rsidR="00467FE9" w:rsidRDefault="00284B95" w:rsidP="006D13D2">
      <w:pPr>
        <w:jc w:val="both"/>
      </w:pPr>
      <w:r>
        <w:t xml:space="preserve">                                                                                                                         Current financial </w:t>
      </w:r>
    </w:p>
    <w:p w:rsidR="00B03450" w:rsidRDefault="00284B95" w:rsidP="00994F2F">
      <w:pPr>
        <w:jc w:val="both"/>
      </w:pPr>
      <w:r>
        <w:t xml:space="preserve">                                                                                                                             </w:t>
      </w:r>
      <w:proofErr w:type="gramStart"/>
      <w:r w:rsidR="00994F2F">
        <w:t>period</w:t>
      </w:r>
      <w:proofErr w:type="gramEnd"/>
      <w:r>
        <w:t xml:space="preserve"> ended</w:t>
      </w:r>
    </w:p>
    <w:p w:rsidR="00B03450" w:rsidRDefault="00284B95" w:rsidP="003B4A89">
      <w:pPr>
        <w:jc w:val="both"/>
      </w:pPr>
      <w:r>
        <w:t xml:space="preserve">                                                                                                                              3</w:t>
      </w:r>
      <w:r w:rsidR="00584534">
        <w:t>0</w:t>
      </w:r>
      <w:r>
        <w:t>/</w:t>
      </w:r>
      <w:r w:rsidR="00D94256">
        <w:t>0</w:t>
      </w:r>
      <w:r w:rsidR="007B462D">
        <w:t>9</w:t>
      </w:r>
      <w:r>
        <w:t>/201</w:t>
      </w:r>
      <w:r w:rsidR="00D94256">
        <w:t>5</w:t>
      </w:r>
    </w:p>
    <w:p w:rsidR="00284B95" w:rsidRDefault="00284B95" w:rsidP="006D13D2">
      <w:pPr>
        <w:jc w:val="both"/>
      </w:pPr>
      <w:r>
        <w:t xml:space="preserve">                                                                                                                                 RM’000</w:t>
      </w:r>
    </w:p>
    <w:p w:rsidR="00B03450" w:rsidRDefault="00B03450" w:rsidP="00B03450">
      <w:pPr>
        <w:jc w:val="both"/>
      </w:pPr>
      <w:r>
        <w:tab/>
        <w:t>Total retained profits of the Company and its subsidiaries:</w:t>
      </w:r>
      <w:r>
        <w:tab/>
        <w:t xml:space="preserve">   </w:t>
      </w:r>
      <w:r>
        <w:tab/>
      </w:r>
      <w:r>
        <w:tab/>
      </w:r>
      <w:r>
        <w:tab/>
      </w:r>
    </w:p>
    <w:p w:rsidR="00B03450" w:rsidRDefault="00B03450" w:rsidP="00B44EFF">
      <w:pPr>
        <w:numPr>
          <w:ilvl w:val="0"/>
          <w:numId w:val="1"/>
        </w:numPr>
        <w:jc w:val="both"/>
      </w:pPr>
      <w:r>
        <w:t>Realised</w:t>
      </w:r>
      <w:r w:rsidR="00284B95">
        <w:t xml:space="preserve">                                                                                                 </w:t>
      </w:r>
      <w:r w:rsidR="005E2566">
        <w:t xml:space="preserve"> </w:t>
      </w:r>
      <w:r w:rsidR="00EF135A">
        <w:t>1</w:t>
      </w:r>
      <w:r w:rsidR="00F97DBC">
        <w:t>30</w:t>
      </w:r>
      <w:r w:rsidR="00A47712">
        <w:t>,</w:t>
      </w:r>
      <w:r w:rsidR="00F97DBC">
        <w:t>588</w:t>
      </w:r>
    </w:p>
    <w:p w:rsidR="00B03450" w:rsidRDefault="00B03450" w:rsidP="00B44EFF">
      <w:pPr>
        <w:numPr>
          <w:ilvl w:val="0"/>
          <w:numId w:val="1"/>
        </w:numPr>
        <w:jc w:val="both"/>
      </w:pPr>
      <w:r>
        <w:t>Unrealised</w:t>
      </w:r>
      <w:r w:rsidR="00284B95">
        <w:t xml:space="preserve">                     </w:t>
      </w:r>
      <w:r w:rsidR="00BE5DD6">
        <w:t xml:space="preserve">                                                                      </w:t>
      </w:r>
      <w:r w:rsidR="00AE60B5">
        <w:t xml:space="preserve"> </w:t>
      </w:r>
      <w:r w:rsidR="00BE5DD6">
        <w:t xml:space="preserve">     </w:t>
      </w:r>
      <w:r w:rsidR="005E2566">
        <w:t>(</w:t>
      </w:r>
      <w:r w:rsidR="00A7589B">
        <w:t>5</w:t>
      </w:r>
      <w:r w:rsidR="003D5FB1">
        <w:t>,</w:t>
      </w:r>
      <w:r w:rsidR="00A7589B">
        <w:t>019</w:t>
      </w:r>
      <w:r w:rsidR="005E2566">
        <w:t>)</w:t>
      </w:r>
    </w:p>
    <w:p w:rsidR="00BE5DD6" w:rsidRDefault="00BE5DD6" w:rsidP="00063F18">
      <w:pPr>
        <w:jc w:val="both"/>
      </w:pPr>
      <w:r>
        <w:t xml:space="preserve">                                                                                                                     </w:t>
      </w:r>
      <w:r w:rsidR="00063F18">
        <w:t xml:space="preserve">    </w:t>
      </w:r>
      <w:r>
        <w:t xml:space="preserve">       -----------</w:t>
      </w:r>
    </w:p>
    <w:p w:rsidR="00B03450" w:rsidRDefault="00BE5DD6" w:rsidP="00B44EFF">
      <w:pPr>
        <w:jc w:val="both"/>
      </w:pPr>
      <w:r>
        <w:t xml:space="preserve">            </w:t>
      </w:r>
      <w:r w:rsidR="00517F2D">
        <w:t>Total</w:t>
      </w:r>
      <w:r>
        <w:t xml:space="preserve"> </w:t>
      </w:r>
      <w:r w:rsidR="00517F2D">
        <w:t>group retained profits as per consolidated accounts</w:t>
      </w:r>
      <w:r>
        <w:t xml:space="preserve">                         </w:t>
      </w:r>
      <w:r w:rsidR="00681C3B">
        <w:t xml:space="preserve">  </w:t>
      </w:r>
      <w:r w:rsidR="00AE60B5">
        <w:t>1</w:t>
      </w:r>
      <w:r w:rsidR="00A7589B">
        <w:t>25</w:t>
      </w:r>
      <w:r w:rsidR="00EF135A">
        <w:t>,</w:t>
      </w:r>
      <w:r w:rsidR="00A7589B">
        <w:t>569</w:t>
      </w:r>
      <w:r>
        <w:t xml:space="preserve">                                                                          </w:t>
      </w:r>
      <w:r w:rsidR="005E2566">
        <w:t xml:space="preserve"> </w:t>
      </w:r>
    </w:p>
    <w:p w:rsidR="00467FE9" w:rsidRDefault="00467FE9" w:rsidP="00BE5DD6">
      <w:pPr>
        <w:jc w:val="both"/>
      </w:pPr>
      <w:r>
        <w:tab/>
      </w:r>
      <w:r w:rsidR="00BE5DD6">
        <w:t xml:space="preserve">                                                                                                               </w:t>
      </w:r>
      <w:r w:rsidR="00063F18">
        <w:t xml:space="preserve"> </w:t>
      </w:r>
      <w:r w:rsidR="00BE5DD6">
        <w:t xml:space="preserve">    </w:t>
      </w:r>
      <w:r w:rsidR="005E2566">
        <w:t xml:space="preserve"> </w:t>
      </w:r>
      <w:r w:rsidR="00BE5DD6">
        <w:t>======</w:t>
      </w:r>
    </w:p>
    <w:p w:rsidR="009D7CA3" w:rsidRDefault="009D7CA3" w:rsidP="00364EFC">
      <w:pPr>
        <w:jc w:val="both"/>
      </w:pPr>
    </w:p>
    <w:p w:rsidR="006D13D2" w:rsidRDefault="006D13D2" w:rsidP="00741D8C">
      <w:pPr>
        <w:jc w:val="both"/>
        <w:rPr>
          <w:b/>
          <w:bCs/>
        </w:rPr>
      </w:pPr>
      <w:r>
        <w:rPr>
          <w:b/>
          <w:bCs/>
        </w:rPr>
        <w:t>2</w:t>
      </w:r>
      <w:r w:rsidR="00445002">
        <w:rPr>
          <w:b/>
          <w:bCs/>
        </w:rPr>
        <w:t>7.</w:t>
      </w:r>
      <w:r>
        <w:rPr>
          <w:b/>
          <w:bCs/>
        </w:rPr>
        <w:tab/>
      </w:r>
      <w:proofErr w:type="gramStart"/>
      <w:r w:rsidRPr="006D13D2">
        <w:rPr>
          <w:b/>
          <w:bCs/>
        </w:rPr>
        <w:t>Off</w:t>
      </w:r>
      <w:proofErr w:type="gramEnd"/>
      <w:r w:rsidRPr="006D13D2">
        <w:rPr>
          <w:b/>
          <w:bCs/>
        </w:rPr>
        <w:t xml:space="preserve"> Balance Sheet Financial Instruments</w:t>
      </w:r>
    </w:p>
    <w:p w:rsidR="006D13D2" w:rsidRDefault="006D13D2" w:rsidP="006D13D2">
      <w:pPr>
        <w:jc w:val="both"/>
        <w:rPr>
          <w:b/>
          <w:bCs/>
        </w:rPr>
      </w:pPr>
    </w:p>
    <w:p w:rsidR="006D13D2" w:rsidRPr="006D13D2" w:rsidRDefault="006D13D2" w:rsidP="00E03E61">
      <w:pPr>
        <w:ind w:left="720"/>
        <w:jc w:val="both"/>
      </w:pPr>
      <w:r w:rsidRPr="006D13D2">
        <w:t>The Group does not have any financial instruments with off balance sheet risk as at 3</w:t>
      </w:r>
      <w:r w:rsidR="00584534">
        <w:t xml:space="preserve">0 </w:t>
      </w:r>
      <w:r w:rsidR="007B462D">
        <w:t>September</w:t>
      </w:r>
      <w:r w:rsidR="00D872C4">
        <w:t xml:space="preserve"> </w:t>
      </w:r>
      <w:r w:rsidR="00530C99">
        <w:t>201</w:t>
      </w:r>
      <w:r w:rsidR="00D94256">
        <w:t>5</w:t>
      </w:r>
      <w:r w:rsidRPr="006D13D2">
        <w:t>.</w:t>
      </w:r>
    </w:p>
    <w:p w:rsidR="00AE60B5" w:rsidRDefault="00AE60B5">
      <w:pPr>
        <w:jc w:val="both"/>
      </w:pPr>
    </w:p>
    <w:p w:rsidR="00B11822" w:rsidRDefault="00B11822">
      <w:pPr>
        <w:jc w:val="both"/>
      </w:pPr>
      <w:r>
        <w:tab/>
      </w:r>
    </w:p>
    <w:p w:rsidR="009E69BF" w:rsidRDefault="009E69BF" w:rsidP="00741D8C">
      <w:pPr>
        <w:jc w:val="both"/>
      </w:pPr>
      <w:r w:rsidRPr="00741D8C">
        <w:rPr>
          <w:b/>
          <w:bCs/>
        </w:rPr>
        <w:t>2</w:t>
      </w:r>
      <w:r w:rsidR="00445002">
        <w:rPr>
          <w:b/>
          <w:bCs/>
        </w:rPr>
        <w:t>8</w:t>
      </w:r>
      <w:r w:rsidR="00741D8C" w:rsidRPr="00741D8C">
        <w:rPr>
          <w:b/>
          <w:bCs/>
        </w:rPr>
        <w:t>.</w:t>
      </w:r>
      <w:r>
        <w:tab/>
      </w:r>
      <w:r>
        <w:rPr>
          <w:b/>
        </w:rPr>
        <w:t>Material Litigations</w:t>
      </w:r>
    </w:p>
    <w:p w:rsidR="009E69BF" w:rsidRDefault="009E69BF">
      <w:pPr>
        <w:ind w:left="720" w:hanging="720"/>
        <w:jc w:val="both"/>
        <w:rPr>
          <w:sz w:val="16"/>
        </w:rPr>
      </w:pPr>
    </w:p>
    <w:p w:rsidR="009E69BF" w:rsidRDefault="009E69BF">
      <w:pPr>
        <w:ind w:left="720"/>
        <w:jc w:val="both"/>
      </w:pPr>
      <w:r>
        <w:t>The Group is not engaged in any material litigation as at the date of this announcement.</w:t>
      </w:r>
    </w:p>
    <w:p w:rsidR="009D3F1E" w:rsidRDefault="009D3F1E">
      <w:pPr>
        <w:jc w:val="both"/>
      </w:pPr>
    </w:p>
    <w:p w:rsidR="00AE60B5" w:rsidRDefault="00AE60B5">
      <w:pPr>
        <w:jc w:val="both"/>
      </w:pPr>
    </w:p>
    <w:p w:rsidR="009E69BF" w:rsidRDefault="00445002" w:rsidP="00741D8C">
      <w:pPr>
        <w:jc w:val="both"/>
        <w:rPr>
          <w:b/>
        </w:rPr>
      </w:pPr>
      <w:r>
        <w:rPr>
          <w:b/>
          <w:bCs/>
        </w:rPr>
        <w:t>29</w:t>
      </w:r>
      <w:r w:rsidR="009E69BF" w:rsidRPr="00741D8C">
        <w:rPr>
          <w:b/>
          <w:bCs/>
        </w:rPr>
        <w:t>.</w:t>
      </w:r>
      <w:r w:rsidR="009E69BF">
        <w:t xml:space="preserve">      </w:t>
      </w:r>
      <w:r>
        <w:rPr>
          <w:b/>
        </w:rPr>
        <w:t>Dividend</w:t>
      </w:r>
    </w:p>
    <w:p w:rsidR="009E69BF" w:rsidRDefault="009E69BF">
      <w:pPr>
        <w:jc w:val="both"/>
        <w:rPr>
          <w:sz w:val="16"/>
        </w:rPr>
      </w:pPr>
    </w:p>
    <w:p w:rsidR="0075006F" w:rsidRDefault="009C797F" w:rsidP="00CC494B">
      <w:pPr>
        <w:ind w:left="690"/>
        <w:jc w:val="both"/>
      </w:pPr>
      <w:r>
        <w:t xml:space="preserve">The </w:t>
      </w:r>
      <w:r w:rsidR="007B462D">
        <w:t>third</w:t>
      </w:r>
      <w:r w:rsidR="00B13DF3">
        <w:t xml:space="preserve"> s</w:t>
      </w:r>
      <w:r>
        <w:t>ingle tier dividend of</w:t>
      </w:r>
      <w:r w:rsidR="005C5597">
        <w:t xml:space="preserve"> 3</w:t>
      </w:r>
      <w:r w:rsidR="00B13DF3">
        <w:t xml:space="preserve">% </w:t>
      </w:r>
      <w:r w:rsidR="005C5597">
        <w:t>on enla</w:t>
      </w:r>
      <w:r w:rsidR="00445002">
        <w:t>rged share capital of 179,999,98</w:t>
      </w:r>
      <w:r w:rsidR="005C5597">
        <w:t xml:space="preserve">8 shares of RM0.50 each </w:t>
      </w:r>
      <w:r w:rsidR="009D5F26">
        <w:t>totalling</w:t>
      </w:r>
      <w:r>
        <w:t xml:space="preserve"> RM</w:t>
      </w:r>
      <w:r w:rsidR="005C5597">
        <w:t>5.40</w:t>
      </w:r>
      <w:r w:rsidR="00CC494B">
        <w:t xml:space="preserve"> </w:t>
      </w:r>
      <w:r w:rsidR="0071484D">
        <w:t xml:space="preserve">million </w:t>
      </w:r>
      <w:r>
        <w:t>in respect of the financial year end</w:t>
      </w:r>
      <w:r w:rsidR="009D5F26">
        <w:t>ing</w:t>
      </w:r>
      <w:r>
        <w:t xml:space="preserve"> 31 December 201</w:t>
      </w:r>
      <w:r w:rsidR="00D94256">
        <w:t>5</w:t>
      </w:r>
      <w:r w:rsidR="009D5F26">
        <w:t xml:space="preserve"> is declared for the period ended 3</w:t>
      </w:r>
      <w:r w:rsidR="00003D62">
        <w:t xml:space="preserve">0 </w:t>
      </w:r>
      <w:r w:rsidR="007B462D">
        <w:t>September</w:t>
      </w:r>
      <w:r w:rsidR="00E03E61">
        <w:t xml:space="preserve"> </w:t>
      </w:r>
      <w:r w:rsidR="009D5F26">
        <w:t>201</w:t>
      </w:r>
      <w:r w:rsidR="00D94256">
        <w:t>5</w:t>
      </w:r>
      <w:r w:rsidR="009D5F26">
        <w:t>, payable on</w:t>
      </w:r>
      <w:r w:rsidR="00CC494B">
        <w:t xml:space="preserve"> </w:t>
      </w:r>
      <w:r w:rsidR="005C5597">
        <w:t>10 December 2015</w:t>
      </w:r>
      <w:r w:rsidR="00445002">
        <w:t xml:space="preserve"> </w:t>
      </w:r>
      <w:r w:rsidR="009D5F26">
        <w:t xml:space="preserve">to depositors registered in the Records of Depositors at close of business on </w:t>
      </w:r>
      <w:r w:rsidR="005C5597">
        <w:t>28 December 2015</w:t>
      </w:r>
      <w:r w:rsidR="00E93D00">
        <w:t>.</w:t>
      </w:r>
    </w:p>
    <w:p w:rsidR="00CC494B" w:rsidRDefault="00CC494B" w:rsidP="00CC494B">
      <w:pPr>
        <w:ind w:left="690"/>
        <w:jc w:val="both"/>
        <w:rPr>
          <w:b/>
          <w:bCs/>
        </w:rPr>
      </w:pPr>
    </w:p>
    <w:p w:rsidR="00F97DBC" w:rsidRDefault="00F97DBC" w:rsidP="00CC494B">
      <w:pPr>
        <w:ind w:left="690"/>
        <w:jc w:val="both"/>
        <w:rPr>
          <w:b/>
          <w:bCs/>
        </w:rPr>
      </w:pPr>
    </w:p>
    <w:p w:rsidR="009E69BF" w:rsidRDefault="00741D8C" w:rsidP="00741D8C">
      <w:pPr>
        <w:ind w:left="720" w:hanging="720"/>
        <w:jc w:val="both"/>
      </w:pPr>
      <w:r w:rsidRPr="00741D8C">
        <w:rPr>
          <w:b/>
          <w:bCs/>
        </w:rPr>
        <w:t>3</w:t>
      </w:r>
      <w:r w:rsidR="00445002">
        <w:rPr>
          <w:b/>
          <w:bCs/>
        </w:rPr>
        <w:t>0</w:t>
      </w:r>
      <w:r w:rsidR="009E69BF">
        <w:t>.</w:t>
      </w:r>
      <w:r w:rsidR="009E69BF">
        <w:tab/>
      </w:r>
      <w:r w:rsidR="009E69BF">
        <w:rPr>
          <w:b/>
        </w:rPr>
        <w:t>Basic Earning per Share</w:t>
      </w:r>
    </w:p>
    <w:p w:rsidR="009E69BF" w:rsidRDefault="009E69BF" w:rsidP="009D31A7">
      <w:pPr>
        <w:jc w:val="both"/>
      </w:pPr>
      <w:r>
        <w:t xml:space="preserve">                                                                                  </w:t>
      </w:r>
      <w:r w:rsidR="00BA4E86">
        <w:t xml:space="preserve">  </w:t>
      </w:r>
      <w:r>
        <w:t xml:space="preserve">   Current Quarter           </w:t>
      </w:r>
      <w:r w:rsidR="003E73AE">
        <w:t xml:space="preserve"> </w:t>
      </w:r>
      <w:r>
        <w:t xml:space="preserve"> Year to Date</w:t>
      </w:r>
    </w:p>
    <w:p w:rsidR="009E69BF" w:rsidRDefault="009E69BF" w:rsidP="00C3706F">
      <w:pPr>
        <w:jc w:val="both"/>
      </w:pPr>
      <w:r>
        <w:t xml:space="preserve">                                                                                      </w:t>
      </w:r>
      <w:r w:rsidR="00C3706F">
        <w:t xml:space="preserve">  </w:t>
      </w:r>
      <w:r>
        <w:t xml:space="preserve"> </w:t>
      </w:r>
      <w:r w:rsidR="001E41BB">
        <w:t xml:space="preserve"> </w:t>
      </w:r>
      <w:r w:rsidR="00B9407A">
        <w:t xml:space="preserve"> </w:t>
      </w:r>
      <w:r>
        <w:t>3</w:t>
      </w:r>
      <w:r w:rsidR="00003D62">
        <w:t xml:space="preserve">0 </w:t>
      </w:r>
      <w:r w:rsidR="00445002">
        <w:t>Se</w:t>
      </w:r>
      <w:r w:rsidR="007B462D">
        <w:t>p</w:t>
      </w:r>
      <w:r w:rsidR="00445002">
        <w:t>t</w:t>
      </w:r>
      <w:r w:rsidR="001F4D81">
        <w:t xml:space="preserve">    </w:t>
      </w:r>
      <w:r w:rsidR="00C3706F">
        <w:t xml:space="preserve">    </w:t>
      </w:r>
      <w:r>
        <w:t xml:space="preserve"> </w:t>
      </w:r>
      <w:r w:rsidR="00B9407A">
        <w:t xml:space="preserve"> </w:t>
      </w:r>
      <w:r w:rsidR="005A3B30">
        <w:t xml:space="preserve">    </w:t>
      </w:r>
      <w:r w:rsidR="00B9407A">
        <w:t xml:space="preserve"> </w:t>
      </w:r>
      <w:r w:rsidR="006059B3">
        <w:t xml:space="preserve">  </w:t>
      </w:r>
      <w:r w:rsidR="003B3BE6">
        <w:t xml:space="preserve">  </w:t>
      </w:r>
      <w:r w:rsidR="00B939CE">
        <w:t xml:space="preserve">    </w:t>
      </w:r>
      <w:r w:rsidR="003B3BE6">
        <w:t xml:space="preserve">  </w:t>
      </w:r>
      <w:r w:rsidR="006059B3">
        <w:t xml:space="preserve"> </w:t>
      </w:r>
      <w:r w:rsidR="00BB6F6F">
        <w:t xml:space="preserve"> </w:t>
      </w:r>
      <w:r>
        <w:t>3</w:t>
      </w:r>
      <w:r w:rsidR="00003D62">
        <w:t xml:space="preserve">0 </w:t>
      </w:r>
      <w:r w:rsidR="007B462D">
        <w:t>Sept</w:t>
      </w:r>
      <w:r>
        <w:t xml:space="preserve">                                                                             </w:t>
      </w:r>
    </w:p>
    <w:p w:rsidR="00A05DE5" w:rsidRDefault="009E69BF" w:rsidP="00681C3B">
      <w:pPr>
        <w:jc w:val="both"/>
      </w:pPr>
      <w:r>
        <w:t xml:space="preserve">                                                                                </w:t>
      </w:r>
      <w:r w:rsidR="00A05DE5">
        <w:t xml:space="preserve">   </w:t>
      </w:r>
    </w:p>
    <w:p w:rsidR="009E69BF" w:rsidRDefault="00A05DE5" w:rsidP="00C3706F">
      <w:pPr>
        <w:ind w:firstLine="720"/>
        <w:jc w:val="both"/>
      </w:pPr>
      <w:r>
        <w:t xml:space="preserve">   </w:t>
      </w:r>
      <w:r>
        <w:tab/>
      </w:r>
      <w:r>
        <w:tab/>
      </w:r>
      <w:r>
        <w:tab/>
      </w:r>
      <w:r>
        <w:tab/>
      </w:r>
      <w:r>
        <w:tab/>
      </w:r>
      <w:r>
        <w:tab/>
        <w:t xml:space="preserve">     </w:t>
      </w:r>
      <w:r w:rsidR="009E69BF">
        <w:t>20</w:t>
      </w:r>
      <w:r w:rsidR="00B11822">
        <w:t>1</w:t>
      </w:r>
      <w:r w:rsidR="00003D62">
        <w:t>5</w:t>
      </w:r>
      <w:r w:rsidR="009E69BF">
        <w:t xml:space="preserve">         2</w:t>
      </w:r>
      <w:r w:rsidR="00C3706F">
        <w:t>0</w:t>
      </w:r>
      <w:r w:rsidR="00681C3B">
        <w:t>1</w:t>
      </w:r>
      <w:r w:rsidR="00003D62">
        <w:t>4</w:t>
      </w:r>
      <w:r w:rsidR="009E69BF">
        <w:t xml:space="preserve">        </w:t>
      </w:r>
      <w:r w:rsidR="00003D62">
        <w:t xml:space="preserve">  </w:t>
      </w:r>
      <w:r w:rsidR="009E69BF">
        <w:t xml:space="preserve"> 20</w:t>
      </w:r>
      <w:r w:rsidR="00B11822">
        <w:t>1</w:t>
      </w:r>
      <w:r w:rsidR="00003D62">
        <w:t>5</w:t>
      </w:r>
      <w:r w:rsidR="009E69BF">
        <w:t xml:space="preserve">          20</w:t>
      </w:r>
      <w:r w:rsidR="00681C3B">
        <w:t>1</w:t>
      </w:r>
      <w:r w:rsidR="00003D62">
        <w:t>4</w:t>
      </w:r>
    </w:p>
    <w:p w:rsidR="009E69BF" w:rsidRDefault="009E69BF" w:rsidP="001E41BB">
      <w:pPr>
        <w:jc w:val="both"/>
      </w:pPr>
      <w:r>
        <w:t xml:space="preserve">                                                                                      RM’000    </w:t>
      </w:r>
      <w:proofErr w:type="spellStart"/>
      <w:r>
        <w:t>RM’000</w:t>
      </w:r>
      <w:proofErr w:type="spellEnd"/>
      <w:r>
        <w:t xml:space="preserve">    </w:t>
      </w:r>
      <w:proofErr w:type="spellStart"/>
      <w:r>
        <w:t>RM’000</w:t>
      </w:r>
      <w:proofErr w:type="spellEnd"/>
      <w:r>
        <w:t xml:space="preserve">    </w:t>
      </w:r>
      <w:proofErr w:type="spellStart"/>
      <w:r>
        <w:t>RM’000</w:t>
      </w:r>
      <w:proofErr w:type="spellEnd"/>
      <w:r>
        <w:t xml:space="preserve"> </w:t>
      </w:r>
    </w:p>
    <w:p w:rsidR="009E69BF" w:rsidRDefault="009E69BF">
      <w:pPr>
        <w:jc w:val="both"/>
      </w:pPr>
      <w:r>
        <w:t xml:space="preserve">                                                                                                                                   </w:t>
      </w:r>
    </w:p>
    <w:p w:rsidR="009E69BF" w:rsidRDefault="009E69BF" w:rsidP="00C3706F">
      <w:pPr>
        <w:jc w:val="both"/>
      </w:pPr>
      <w:r>
        <w:t xml:space="preserve">           Profit attributable to shareholders</w:t>
      </w:r>
      <w:r w:rsidR="00BE5DD6">
        <w:t xml:space="preserve">                  </w:t>
      </w:r>
      <w:r w:rsidR="00A65154">
        <w:t xml:space="preserve">  </w:t>
      </w:r>
      <w:r w:rsidR="00855070">
        <w:t xml:space="preserve"> </w:t>
      </w:r>
      <w:r w:rsidR="00BC47EA">
        <w:t xml:space="preserve"> </w:t>
      </w:r>
      <w:r w:rsidR="003739A9">
        <w:t xml:space="preserve">  </w:t>
      </w:r>
      <w:r w:rsidR="00BE5DD6">
        <w:t xml:space="preserve"> </w:t>
      </w:r>
      <w:r w:rsidR="00AE60B5">
        <w:t>1</w:t>
      </w:r>
      <w:r w:rsidR="00F97DBC">
        <w:t>5</w:t>
      </w:r>
      <w:r w:rsidR="00D20393">
        <w:t>,</w:t>
      </w:r>
      <w:r w:rsidR="00F97DBC">
        <w:t>462</w:t>
      </w:r>
      <w:r w:rsidR="00855070">
        <w:t xml:space="preserve"> </w:t>
      </w:r>
      <w:r w:rsidR="00D20393">
        <w:t xml:space="preserve">      </w:t>
      </w:r>
      <w:r w:rsidR="00F97DBC">
        <w:t>5</w:t>
      </w:r>
      <w:r w:rsidR="00D20393">
        <w:t>,</w:t>
      </w:r>
      <w:r w:rsidR="00F97DBC">
        <w:t>760</w:t>
      </w:r>
      <w:r w:rsidR="00755F08">
        <w:t xml:space="preserve"> </w:t>
      </w:r>
      <w:r w:rsidR="0033518B">
        <w:t xml:space="preserve">  </w:t>
      </w:r>
      <w:r w:rsidR="00855070">
        <w:t xml:space="preserve">   </w:t>
      </w:r>
      <w:r w:rsidR="0033518B">
        <w:t xml:space="preserve">  </w:t>
      </w:r>
      <w:r w:rsidR="00C3706F">
        <w:t xml:space="preserve"> </w:t>
      </w:r>
      <w:r w:rsidR="00F97DBC">
        <w:t>38</w:t>
      </w:r>
      <w:r w:rsidR="00D20393">
        <w:t>,</w:t>
      </w:r>
      <w:r w:rsidR="00F97DBC">
        <w:t>867</w:t>
      </w:r>
      <w:r w:rsidR="00855070">
        <w:t xml:space="preserve">    </w:t>
      </w:r>
      <w:r w:rsidR="00D20393">
        <w:t xml:space="preserve"> </w:t>
      </w:r>
      <w:r w:rsidR="00F97DBC">
        <w:t>20</w:t>
      </w:r>
      <w:r w:rsidR="00D20393">
        <w:t>,</w:t>
      </w:r>
      <w:r w:rsidR="00F97DBC">
        <w:t>474</w:t>
      </w:r>
      <w:r w:rsidR="00DD2EE3">
        <w:t xml:space="preserve"> </w:t>
      </w:r>
      <w:r>
        <w:t xml:space="preserve">           </w:t>
      </w:r>
    </w:p>
    <w:p w:rsidR="009D3F1E" w:rsidRDefault="009D3F1E">
      <w:pPr>
        <w:jc w:val="both"/>
        <w:rPr>
          <w:sz w:val="16"/>
        </w:rPr>
      </w:pPr>
    </w:p>
    <w:p w:rsidR="009E69BF" w:rsidRDefault="009E69BF" w:rsidP="00D20393">
      <w:pPr>
        <w:jc w:val="both"/>
        <w:rPr>
          <w:sz w:val="16"/>
        </w:rPr>
      </w:pPr>
      <w:r>
        <w:t xml:space="preserve">           Weighted average number of shares                  </w:t>
      </w:r>
      <w:r w:rsidR="009D3F1E">
        <w:t xml:space="preserve"> </w:t>
      </w:r>
      <w:r w:rsidR="00E366AA">
        <w:t xml:space="preserve">  </w:t>
      </w:r>
      <w:r>
        <w:t xml:space="preserve">60,000      60,000     </w:t>
      </w:r>
      <w:r w:rsidR="009A7928">
        <w:t xml:space="preserve">   </w:t>
      </w:r>
      <w:r>
        <w:t xml:space="preserve">60,000 </w:t>
      </w:r>
      <w:r w:rsidR="009A7928">
        <w:t xml:space="preserve"> </w:t>
      </w:r>
      <w:r>
        <w:t xml:space="preserve"> </w:t>
      </w:r>
      <w:r w:rsidR="009D3F1E">
        <w:t xml:space="preserve"> </w:t>
      </w:r>
      <w:r>
        <w:t xml:space="preserve">  60,000</w:t>
      </w:r>
    </w:p>
    <w:p w:rsidR="009E69BF" w:rsidRDefault="009E69BF">
      <w:pPr>
        <w:jc w:val="both"/>
      </w:pPr>
      <w:r>
        <w:t xml:space="preserve">            </w:t>
      </w:r>
    </w:p>
    <w:p w:rsidR="005E3EAF" w:rsidRDefault="0050118B" w:rsidP="005E3EAF">
      <w:pPr>
        <w:ind w:firstLine="720"/>
        <w:jc w:val="both"/>
      </w:pPr>
      <w:r>
        <w:t>B</w:t>
      </w:r>
      <w:r w:rsidR="009E69BF">
        <w:t>asic Earning per Share</w:t>
      </w:r>
      <w:r w:rsidR="009D3F1E">
        <w:t xml:space="preserve"> (</w:t>
      </w:r>
      <w:proofErr w:type="spellStart"/>
      <w:r w:rsidR="009D3F1E">
        <w:t>sen</w:t>
      </w:r>
      <w:proofErr w:type="spellEnd"/>
      <w:r w:rsidR="009D3F1E">
        <w:t>)</w:t>
      </w:r>
      <w:r w:rsidR="009E69BF">
        <w:tab/>
      </w:r>
      <w:r w:rsidR="009E69BF">
        <w:tab/>
        <w:t xml:space="preserve">   </w:t>
      </w:r>
      <w:r w:rsidR="009E69BF">
        <w:tab/>
        <w:t xml:space="preserve">    </w:t>
      </w:r>
      <w:r w:rsidR="00BE54F1">
        <w:t xml:space="preserve"> </w:t>
      </w:r>
      <w:r w:rsidR="003044F3">
        <w:t xml:space="preserve"> </w:t>
      </w:r>
      <w:r w:rsidR="005E3EAF">
        <w:t>2</w:t>
      </w:r>
      <w:r w:rsidR="00F97DBC">
        <w:t>5</w:t>
      </w:r>
      <w:r w:rsidR="00EF135A">
        <w:t>.</w:t>
      </w:r>
      <w:r w:rsidR="00F97DBC">
        <w:t>77</w:t>
      </w:r>
      <w:r w:rsidR="00BE54F1">
        <w:t xml:space="preserve">   </w:t>
      </w:r>
      <w:r w:rsidR="003044F3">
        <w:t xml:space="preserve">   </w:t>
      </w:r>
      <w:r w:rsidR="00BE54F1">
        <w:t xml:space="preserve">  </w:t>
      </w:r>
      <w:r w:rsidR="00F97DBC">
        <w:t xml:space="preserve">  9.60</w:t>
      </w:r>
      <w:r w:rsidR="00BE54F1">
        <w:t xml:space="preserve">         </w:t>
      </w:r>
      <w:r w:rsidR="0033518B">
        <w:t xml:space="preserve"> </w:t>
      </w:r>
      <w:r w:rsidR="00F97DBC">
        <w:t>64</w:t>
      </w:r>
      <w:r w:rsidR="00755F08">
        <w:t>.</w:t>
      </w:r>
      <w:r w:rsidR="00F97DBC">
        <w:t xml:space="preserve">78 </w:t>
      </w:r>
      <w:r w:rsidR="00BE54F1">
        <w:t xml:space="preserve">   </w:t>
      </w:r>
      <w:r w:rsidR="00B11822">
        <w:t xml:space="preserve"> </w:t>
      </w:r>
      <w:r w:rsidR="00BE54F1">
        <w:t xml:space="preserve"> </w:t>
      </w:r>
      <w:r w:rsidR="00681C3B">
        <w:t xml:space="preserve"> </w:t>
      </w:r>
      <w:r w:rsidR="00F97DBC">
        <w:t>3</w:t>
      </w:r>
      <w:r w:rsidR="005E3EAF">
        <w:t>4</w:t>
      </w:r>
      <w:r w:rsidR="00D20393">
        <w:t>.</w:t>
      </w:r>
      <w:r w:rsidR="00F97DBC">
        <w:t>12</w:t>
      </w:r>
    </w:p>
    <w:p w:rsidR="005E3EAF" w:rsidRDefault="005E3EAF" w:rsidP="005E3EAF">
      <w:pPr>
        <w:ind w:firstLine="720"/>
        <w:jc w:val="both"/>
      </w:pPr>
    </w:p>
    <w:p w:rsidR="00E35F2C" w:rsidRDefault="00E35F2C" w:rsidP="005E3EAF">
      <w:pPr>
        <w:ind w:firstLine="720"/>
        <w:jc w:val="both"/>
      </w:pPr>
    </w:p>
    <w:p w:rsidR="00E35F2C" w:rsidRDefault="00E35F2C" w:rsidP="005E3EAF">
      <w:pPr>
        <w:ind w:firstLine="720"/>
        <w:jc w:val="both"/>
      </w:pPr>
    </w:p>
    <w:p w:rsidR="00E35F2C" w:rsidRDefault="00E35F2C" w:rsidP="005E3EAF">
      <w:pPr>
        <w:ind w:firstLine="720"/>
        <w:jc w:val="both"/>
      </w:pPr>
    </w:p>
    <w:p w:rsidR="00E35F2C" w:rsidRDefault="00E35F2C" w:rsidP="005E3EAF">
      <w:pPr>
        <w:ind w:firstLine="720"/>
        <w:jc w:val="both"/>
      </w:pPr>
    </w:p>
    <w:p w:rsidR="00F97DBC" w:rsidRDefault="00F97DBC" w:rsidP="005E3EAF">
      <w:pPr>
        <w:ind w:firstLine="720"/>
        <w:jc w:val="both"/>
      </w:pPr>
    </w:p>
    <w:p w:rsidR="00E35F2C" w:rsidRDefault="00E35F2C" w:rsidP="005E3EAF">
      <w:pPr>
        <w:ind w:firstLine="720"/>
        <w:jc w:val="both"/>
      </w:pPr>
    </w:p>
    <w:p w:rsidR="00741D8C" w:rsidRDefault="009E69BF" w:rsidP="005E3EAF">
      <w:pPr>
        <w:ind w:firstLine="720"/>
        <w:jc w:val="both"/>
      </w:pPr>
      <w:r>
        <w:lastRenderedPageBreak/>
        <w:t xml:space="preserve">                 </w:t>
      </w:r>
    </w:p>
    <w:p w:rsidR="00E35F2C" w:rsidRPr="00445002" w:rsidRDefault="00E35F2C" w:rsidP="00741D8C">
      <w:pPr>
        <w:jc w:val="both"/>
        <w:rPr>
          <w:bCs/>
        </w:rPr>
      </w:pPr>
      <w:r w:rsidRPr="00445002">
        <w:rPr>
          <w:bCs/>
        </w:rPr>
        <w:t>-continue</w:t>
      </w:r>
      <w:r w:rsidR="00445002" w:rsidRPr="00445002">
        <w:rPr>
          <w:bCs/>
        </w:rPr>
        <w:t>d</w:t>
      </w:r>
    </w:p>
    <w:p w:rsidR="00E35F2C" w:rsidRDefault="00E35F2C" w:rsidP="00741D8C">
      <w:pPr>
        <w:jc w:val="both"/>
        <w:rPr>
          <w:b/>
          <w:bCs/>
        </w:rPr>
      </w:pPr>
    </w:p>
    <w:p w:rsidR="009E69BF" w:rsidRDefault="00234CAB" w:rsidP="00741D8C">
      <w:pPr>
        <w:jc w:val="both"/>
        <w:rPr>
          <w:b/>
          <w:bCs/>
        </w:rPr>
      </w:pPr>
      <w:r>
        <w:rPr>
          <w:b/>
          <w:bCs/>
        </w:rPr>
        <w:t>3</w:t>
      </w:r>
      <w:r w:rsidR="00445002">
        <w:rPr>
          <w:b/>
          <w:bCs/>
        </w:rPr>
        <w:t>1</w:t>
      </w:r>
      <w:r>
        <w:rPr>
          <w:b/>
          <w:bCs/>
        </w:rPr>
        <w:t>.</w:t>
      </w:r>
      <w:r>
        <w:rPr>
          <w:b/>
          <w:bCs/>
        </w:rPr>
        <w:tab/>
      </w:r>
      <w:r w:rsidRPr="00234CAB">
        <w:rPr>
          <w:b/>
          <w:bCs/>
        </w:rPr>
        <w:t>Authorisation for issue</w:t>
      </w:r>
    </w:p>
    <w:p w:rsidR="00234CAB" w:rsidRDefault="00234CAB" w:rsidP="00234CAB">
      <w:pPr>
        <w:jc w:val="both"/>
        <w:rPr>
          <w:b/>
          <w:bCs/>
        </w:rPr>
      </w:pPr>
    </w:p>
    <w:p w:rsidR="00234CAB" w:rsidRPr="00234CAB" w:rsidRDefault="00234CAB" w:rsidP="00C3706F">
      <w:pPr>
        <w:ind w:left="720"/>
        <w:jc w:val="both"/>
      </w:pPr>
      <w:r w:rsidRPr="00234CAB">
        <w:t xml:space="preserve">The interim financial statements and the accompanying notes with authorised for issue by the Board of Directors in accordance with a resolution of the directors passed on </w:t>
      </w:r>
      <w:r w:rsidR="00D94256">
        <w:t>2</w:t>
      </w:r>
      <w:r w:rsidR="007B462D">
        <w:t>1 November</w:t>
      </w:r>
      <w:r w:rsidR="00003D62">
        <w:t xml:space="preserve"> </w:t>
      </w:r>
      <w:r w:rsidR="009D31A7">
        <w:t>201</w:t>
      </w:r>
      <w:r w:rsidR="00B939CE">
        <w:t>5</w:t>
      </w:r>
      <w:r>
        <w:t>.</w:t>
      </w:r>
    </w:p>
    <w:p w:rsidR="009E69BF" w:rsidRPr="00234CAB" w:rsidRDefault="009E69BF">
      <w:pPr>
        <w:jc w:val="both"/>
      </w:pPr>
    </w:p>
    <w:p w:rsidR="009E69BF" w:rsidRDefault="009E69BF">
      <w:pPr>
        <w:ind w:left="720"/>
        <w:jc w:val="both"/>
      </w:pPr>
      <w:r>
        <w:t xml:space="preserve">       </w:t>
      </w:r>
      <w:r>
        <w:tab/>
      </w:r>
    </w:p>
    <w:p w:rsidR="009E69BF" w:rsidRDefault="009E69BF">
      <w:pPr>
        <w:ind w:left="720"/>
        <w:jc w:val="both"/>
      </w:pPr>
    </w:p>
    <w:p w:rsidR="009E69BF" w:rsidRDefault="009E69BF">
      <w:pPr>
        <w:jc w:val="both"/>
      </w:pPr>
    </w:p>
    <w:p w:rsidR="009E69BF" w:rsidRDefault="009E69BF">
      <w:pPr>
        <w:jc w:val="both"/>
      </w:pPr>
    </w:p>
    <w:p w:rsidR="009E69BF" w:rsidRDefault="009E69BF">
      <w:pPr>
        <w:jc w:val="both"/>
      </w:pPr>
      <w:r>
        <w:t>For and on behalf of the Board</w:t>
      </w:r>
    </w:p>
    <w:p w:rsidR="009E69BF" w:rsidRDefault="009E69BF">
      <w:pPr>
        <w:jc w:val="both"/>
        <w:rPr>
          <w:rFonts w:eastAsia="宋體"/>
          <w:lang w:eastAsia="zh-TW"/>
        </w:rPr>
      </w:pPr>
      <w:r>
        <w:rPr>
          <w:rFonts w:eastAsia="宋體" w:hint="eastAsia"/>
          <w:lang w:eastAsia="zh-TW"/>
        </w:rPr>
        <w:t>Lii Hen Industries Bhd.</w:t>
      </w:r>
    </w:p>
    <w:p w:rsidR="009E69BF" w:rsidRDefault="009E69BF">
      <w:pPr>
        <w:jc w:val="both"/>
        <w:rPr>
          <w:rFonts w:eastAsia="宋體"/>
          <w:lang w:eastAsia="zh-TW"/>
        </w:rPr>
      </w:pPr>
    </w:p>
    <w:p w:rsidR="009E69BF" w:rsidRDefault="009E69BF">
      <w:pPr>
        <w:jc w:val="both"/>
      </w:pPr>
    </w:p>
    <w:p w:rsidR="009E69BF" w:rsidRDefault="009E69BF">
      <w:pPr>
        <w:jc w:val="both"/>
        <w:rPr>
          <w:rFonts w:eastAsia="宋體"/>
          <w:lang w:eastAsia="zh-TW"/>
        </w:rPr>
      </w:pPr>
      <w:r>
        <w:rPr>
          <w:rFonts w:eastAsia="宋體" w:hint="eastAsia"/>
          <w:lang w:eastAsia="zh-TW"/>
        </w:rPr>
        <w:t>Tan Wang Giap</w:t>
      </w:r>
      <w:r>
        <w:rPr>
          <w:rFonts w:eastAsia="宋體"/>
          <w:lang w:eastAsia="zh-TW"/>
        </w:rPr>
        <w:t xml:space="preserve">, </w:t>
      </w:r>
      <w:r>
        <w:rPr>
          <w:rFonts w:eastAsia="宋體"/>
          <w:sz w:val="20"/>
          <w:lang w:eastAsia="zh-TW"/>
        </w:rPr>
        <w:t>MACS 00523</w:t>
      </w:r>
    </w:p>
    <w:p w:rsidR="009E69BF" w:rsidRDefault="009E69BF">
      <w:pPr>
        <w:jc w:val="both"/>
      </w:pPr>
      <w:r>
        <w:t>Secretary</w:t>
      </w:r>
    </w:p>
    <w:p w:rsidR="009E69BF" w:rsidRDefault="009E69BF">
      <w:pPr>
        <w:jc w:val="both"/>
      </w:pPr>
    </w:p>
    <w:p w:rsidR="009E69BF" w:rsidRDefault="009E69BF">
      <w:pPr>
        <w:jc w:val="both"/>
      </w:pPr>
    </w:p>
    <w:sectPr w:rsidR="009E69BF">
      <w:headerReference w:type="default" r:id="rId8"/>
      <w:pgSz w:w="11909" w:h="16834" w:code="9"/>
      <w:pgMar w:top="1872" w:right="864"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B7" w:rsidRDefault="001844B7">
      <w:r>
        <w:separator/>
      </w:r>
    </w:p>
  </w:endnote>
  <w:endnote w:type="continuationSeparator" w:id="0">
    <w:p w:rsidR="001844B7" w:rsidRDefault="0018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B7" w:rsidRDefault="001844B7">
      <w:r>
        <w:separator/>
      </w:r>
    </w:p>
  </w:footnote>
  <w:footnote w:type="continuationSeparator" w:id="0">
    <w:p w:rsidR="001844B7" w:rsidRDefault="0018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D6" w:rsidRDefault="00520BD6">
    <w:pPr>
      <w:jc w:val="both"/>
      <w:rPr>
        <w:rFonts w:ascii="Arial" w:hAnsi="Arial"/>
        <w:b/>
      </w:rPr>
    </w:pPr>
    <w:r>
      <w:rPr>
        <w:rFonts w:ascii="Arial" w:hAnsi="Arial"/>
        <w:b/>
      </w:rPr>
      <w:t>LII HEN INDUSTRIES BHD (301361-U)</w:t>
    </w:r>
  </w:p>
  <w:p w:rsidR="00520BD6" w:rsidRDefault="00520BD6">
    <w:pPr>
      <w:jc w:val="both"/>
      <w:rPr>
        <w:rFonts w:ascii="Arial" w:hAnsi="Arial"/>
        <w:b/>
      </w:rPr>
    </w:pPr>
  </w:p>
  <w:p w:rsidR="0075006F" w:rsidRDefault="0075006F">
    <w:pPr>
      <w:pStyle w:val="BodyTex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AF3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6ED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5836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EA4E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4AA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1C9F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458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AC66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4674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B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84E04"/>
    <w:multiLevelType w:val="singleLevel"/>
    <w:tmpl w:val="7016623A"/>
    <w:lvl w:ilvl="0">
      <w:start w:val="13"/>
      <w:numFmt w:val="bullet"/>
      <w:lvlText w:val="-"/>
      <w:lvlJc w:val="left"/>
      <w:pPr>
        <w:tabs>
          <w:tab w:val="num" w:pos="1080"/>
        </w:tabs>
        <w:ind w:left="1080" w:hanging="360"/>
      </w:pPr>
      <w:rPr>
        <w:rFonts w:hint="default"/>
      </w:rPr>
    </w:lvl>
  </w:abstractNum>
  <w:abstractNum w:abstractNumId="11" w15:restartNumberingAfterBreak="0">
    <w:nsid w:val="14CB6FCC"/>
    <w:multiLevelType w:val="hybridMultilevel"/>
    <w:tmpl w:val="D548D8B2"/>
    <w:lvl w:ilvl="0" w:tplc="9C644C70">
      <w:start w:val="14"/>
      <w:numFmt w:val="decimal"/>
      <w:lvlText w:val="%1."/>
      <w:lvlJc w:val="left"/>
      <w:pPr>
        <w:tabs>
          <w:tab w:val="num" w:pos="720"/>
        </w:tabs>
        <w:ind w:left="720" w:hanging="63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1851196A"/>
    <w:multiLevelType w:val="multilevel"/>
    <w:tmpl w:val="A55419C4"/>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49FD2A63"/>
    <w:multiLevelType w:val="hybridMultilevel"/>
    <w:tmpl w:val="AFC00D80"/>
    <w:lvl w:ilvl="0" w:tplc="0420B782">
      <w:start w:val="1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B36185"/>
    <w:multiLevelType w:val="hybridMultilevel"/>
    <w:tmpl w:val="E0C0A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82A18"/>
    <w:multiLevelType w:val="hybridMultilevel"/>
    <w:tmpl w:val="323ECC9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051"/>
    <w:rsid w:val="00002841"/>
    <w:rsid w:val="000028B1"/>
    <w:rsid w:val="00003008"/>
    <w:rsid w:val="00003567"/>
    <w:rsid w:val="00003D62"/>
    <w:rsid w:val="00004DFD"/>
    <w:rsid w:val="00007A2B"/>
    <w:rsid w:val="000136E3"/>
    <w:rsid w:val="0001491A"/>
    <w:rsid w:val="00021D16"/>
    <w:rsid w:val="00022430"/>
    <w:rsid w:val="000233BB"/>
    <w:rsid w:val="000260B9"/>
    <w:rsid w:val="00027B31"/>
    <w:rsid w:val="0003090D"/>
    <w:rsid w:val="00032AEB"/>
    <w:rsid w:val="00032D46"/>
    <w:rsid w:val="000342AC"/>
    <w:rsid w:val="00036059"/>
    <w:rsid w:val="00036E2C"/>
    <w:rsid w:val="00037AE8"/>
    <w:rsid w:val="00037C1C"/>
    <w:rsid w:val="00037C9D"/>
    <w:rsid w:val="00042A9E"/>
    <w:rsid w:val="000453CC"/>
    <w:rsid w:val="00047E6C"/>
    <w:rsid w:val="00051A88"/>
    <w:rsid w:val="0005245F"/>
    <w:rsid w:val="00057388"/>
    <w:rsid w:val="00057622"/>
    <w:rsid w:val="0006027D"/>
    <w:rsid w:val="0006070F"/>
    <w:rsid w:val="00060B69"/>
    <w:rsid w:val="00062256"/>
    <w:rsid w:val="00063F18"/>
    <w:rsid w:val="0006465C"/>
    <w:rsid w:val="00070E35"/>
    <w:rsid w:val="00071F6F"/>
    <w:rsid w:val="00072DB4"/>
    <w:rsid w:val="0007375C"/>
    <w:rsid w:val="00074AEB"/>
    <w:rsid w:val="000750AB"/>
    <w:rsid w:val="00080200"/>
    <w:rsid w:val="0008045F"/>
    <w:rsid w:val="00084F76"/>
    <w:rsid w:val="00085246"/>
    <w:rsid w:val="00091D67"/>
    <w:rsid w:val="000926C3"/>
    <w:rsid w:val="00094198"/>
    <w:rsid w:val="0009465F"/>
    <w:rsid w:val="000948FA"/>
    <w:rsid w:val="00094E13"/>
    <w:rsid w:val="0009538F"/>
    <w:rsid w:val="0009591B"/>
    <w:rsid w:val="00096FD8"/>
    <w:rsid w:val="000A03C3"/>
    <w:rsid w:val="000A0E40"/>
    <w:rsid w:val="000A3D1B"/>
    <w:rsid w:val="000A53E8"/>
    <w:rsid w:val="000A6E47"/>
    <w:rsid w:val="000B0BCD"/>
    <w:rsid w:val="000B4811"/>
    <w:rsid w:val="000B7499"/>
    <w:rsid w:val="000C026B"/>
    <w:rsid w:val="000C5390"/>
    <w:rsid w:val="000C595F"/>
    <w:rsid w:val="000C7DF7"/>
    <w:rsid w:val="000D65D5"/>
    <w:rsid w:val="000D6EA5"/>
    <w:rsid w:val="000E01EB"/>
    <w:rsid w:val="000E663F"/>
    <w:rsid w:val="000F350D"/>
    <w:rsid w:val="000F757C"/>
    <w:rsid w:val="00103AF8"/>
    <w:rsid w:val="00106CBA"/>
    <w:rsid w:val="00110CC0"/>
    <w:rsid w:val="001110BE"/>
    <w:rsid w:val="00112425"/>
    <w:rsid w:val="00115A07"/>
    <w:rsid w:val="00120CF8"/>
    <w:rsid w:val="00123DFA"/>
    <w:rsid w:val="00124CB2"/>
    <w:rsid w:val="00131D53"/>
    <w:rsid w:val="0013644D"/>
    <w:rsid w:val="00137603"/>
    <w:rsid w:val="001404F5"/>
    <w:rsid w:val="00141407"/>
    <w:rsid w:val="00143C9F"/>
    <w:rsid w:val="00146114"/>
    <w:rsid w:val="00150DAE"/>
    <w:rsid w:val="00151BAF"/>
    <w:rsid w:val="00152354"/>
    <w:rsid w:val="00152387"/>
    <w:rsid w:val="00152AE4"/>
    <w:rsid w:val="00153FA6"/>
    <w:rsid w:val="00156438"/>
    <w:rsid w:val="00157BD7"/>
    <w:rsid w:val="00157D3D"/>
    <w:rsid w:val="00161B47"/>
    <w:rsid w:val="00163A0B"/>
    <w:rsid w:val="001645D7"/>
    <w:rsid w:val="001664FC"/>
    <w:rsid w:val="00167399"/>
    <w:rsid w:val="00170B4A"/>
    <w:rsid w:val="00170B7E"/>
    <w:rsid w:val="00170B88"/>
    <w:rsid w:val="001761B6"/>
    <w:rsid w:val="00176D0D"/>
    <w:rsid w:val="001813BA"/>
    <w:rsid w:val="00182EAD"/>
    <w:rsid w:val="001844B7"/>
    <w:rsid w:val="001863BE"/>
    <w:rsid w:val="001A21E5"/>
    <w:rsid w:val="001A5F20"/>
    <w:rsid w:val="001A6F67"/>
    <w:rsid w:val="001B2CC6"/>
    <w:rsid w:val="001B32EC"/>
    <w:rsid w:val="001B4A5E"/>
    <w:rsid w:val="001B681B"/>
    <w:rsid w:val="001C0376"/>
    <w:rsid w:val="001C2723"/>
    <w:rsid w:val="001C3CF8"/>
    <w:rsid w:val="001C5E35"/>
    <w:rsid w:val="001D2019"/>
    <w:rsid w:val="001D3BB1"/>
    <w:rsid w:val="001D4BE3"/>
    <w:rsid w:val="001D6ADD"/>
    <w:rsid w:val="001D75BE"/>
    <w:rsid w:val="001E1E69"/>
    <w:rsid w:val="001E41BB"/>
    <w:rsid w:val="001F0B0A"/>
    <w:rsid w:val="001F3050"/>
    <w:rsid w:val="001F41FD"/>
    <w:rsid w:val="001F4D81"/>
    <w:rsid w:val="002001CE"/>
    <w:rsid w:val="00200A3A"/>
    <w:rsid w:val="00201B76"/>
    <w:rsid w:val="00204984"/>
    <w:rsid w:val="00207C37"/>
    <w:rsid w:val="00215A5D"/>
    <w:rsid w:val="00220F0B"/>
    <w:rsid w:val="0022672A"/>
    <w:rsid w:val="00231686"/>
    <w:rsid w:val="00234883"/>
    <w:rsid w:val="00234CAB"/>
    <w:rsid w:val="00235D5C"/>
    <w:rsid w:val="002362FC"/>
    <w:rsid w:val="00240637"/>
    <w:rsid w:val="00244FAF"/>
    <w:rsid w:val="00245CD7"/>
    <w:rsid w:val="002509A2"/>
    <w:rsid w:val="00252D81"/>
    <w:rsid w:val="002558B6"/>
    <w:rsid w:val="00261920"/>
    <w:rsid w:val="00264EDD"/>
    <w:rsid w:val="0026764F"/>
    <w:rsid w:val="00267DBE"/>
    <w:rsid w:val="00270741"/>
    <w:rsid w:val="00275865"/>
    <w:rsid w:val="002759D4"/>
    <w:rsid w:val="00275C7B"/>
    <w:rsid w:val="00282B9D"/>
    <w:rsid w:val="002837DA"/>
    <w:rsid w:val="00284B95"/>
    <w:rsid w:val="00285D00"/>
    <w:rsid w:val="00285FCA"/>
    <w:rsid w:val="0028676D"/>
    <w:rsid w:val="0028703A"/>
    <w:rsid w:val="00291AAE"/>
    <w:rsid w:val="00295FB6"/>
    <w:rsid w:val="002978F7"/>
    <w:rsid w:val="002A0245"/>
    <w:rsid w:val="002A0C33"/>
    <w:rsid w:val="002A1F44"/>
    <w:rsid w:val="002A4930"/>
    <w:rsid w:val="002A4F0D"/>
    <w:rsid w:val="002A6839"/>
    <w:rsid w:val="002B04F9"/>
    <w:rsid w:val="002B120B"/>
    <w:rsid w:val="002B1408"/>
    <w:rsid w:val="002B2575"/>
    <w:rsid w:val="002B3AFC"/>
    <w:rsid w:val="002B3C3D"/>
    <w:rsid w:val="002B3F85"/>
    <w:rsid w:val="002B471F"/>
    <w:rsid w:val="002B686E"/>
    <w:rsid w:val="002C10FB"/>
    <w:rsid w:val="002C2BB1"/>
    <w:rsid w:val="002C553B"/>
    <w:rsid w:val="002D1B68"/>
    <w:rsid w:val="002D31E8"/>
    <w:rsid w:val="002D657E"/>
    <w:rsid w:val="002D67CA"/>
    <w:rsid w:val="002E2487"/>
    <w:rsid w:val="002F7A7C"/>
    <w:rsid w:val="003014CB"/>
    <w:rsid w:val="003044F3"/>
    <w:rsid w:val="00305062"/>
    <w:rsid w:val="00307980"/>
    <w:rsid w:val="0031125F"/>
    <w:rsid w:val="003123E9"/>
    <w:rsid w:val="00312C7B"/>
    <w:rsid w:val="003152D0"/>
    <w:rsid w:val="00320B45"/>
    <w:rsid w:val="0032267E"/>
    <w:rsid w:val="0032279F"/>
    <w:rsid w:val="00324999"/>
    <w:rsid w:val="00326DE3"/>
    <w:rsid w:val="00327544"/>
    <w:rsid w:val="0033058D"/>
    <w:rsid w:val="003311B5"/>
    <w:rsid w:val="00331467"/>
    <w:rsid w:val="00332129"/>
    <w:rsid w:val="0033518B"/>
    <w:rsid w:val="00335CB1"/>
    <w:rsid w:val="00342DED"/>
    <w:rsid w:val="00346CCF"/>
    <w:rsid w:val="003500F0"/>
    <w:rsid w:val="0035108F"/>
    <w:rsid w:val="00354AB6"/>
    <w:rsid w:val="00354AF7"/>
    <w:rsid w:val="0035575A"/>
    <w:rsid w:val="003579C1"/>
    <w:rsid w:val="003643F8"/>
    <w:rsid w:val="00364EFC"/>
    <w:rsid w:val="003658D0"/>
    <w:rsid w:val="00366A9D"/>
    <w:rsid w:val="00366C58"/>
    <w:rsid w:val="00367E46"/>
    <w:rsid w:val="00372BC1"/>
    <w:rsid w:val="00373017"/>
    <w:rsid w:val="003739A9"/>
    <w:rsid w:val="00374D3C"/>
    <w:rsid w:val="003768B1"/>
    <w:rsid w:val="0038217B"/>
    <w:rsid w:val="003825B9"/>
    <w:rsid w:val="00382B85"/>
    <w:rsid w:val="003854D9"/>
    <w:rsid w:val="00390052"/>
    <w:rsid w:val="00390724"/>
    <w:rsid w:val="00395881"/>
    <w:rsid w:val="00396361"/>
    <w:rsid w:val="00397BB6"/>
    <w:rsid w:val="003A5178"/>
    <w:rsid w:val="003A6C18"/>
    <w:rsid w:val="003A7970"/>
    <w:rsid w:val="003A7CF1"/>
    <w:rsid w:val="003A7ECF"/>
    <w:rsid w:val="003B10AE"/>
    <w:rsid w:val="003B10F4"/>
    <w:rsid w:val="003B1F50"/>
    <w:rsid w:val="003B27D4"/>
    <w:rsid w:val="003B3BE6"/>
    <w:rsid w:val="003B4A89"/>
    <w:rsid w:val="003B6209"/>
    <w:rsid w:val="003B7176"/>
    <w:rsid w:val="003C337B"/>
    <w:rsid w:val="003C50DA"/>
    <w:rsid w:val="003C6904"/>
    <w:rsid w:val="003C6B56"/>
    <w:rsid w:val="003D1D38"/>
    <w:rsid w:val="003D382B"/>
    <w:rsid w:val="003D5FB1"/>
    <w:rsid w:val="003D7805"/>
    <w:rsid w:val="003E158E"/>
    <w:rsid w:val="003E1C21"/>
    <w:rsid w:val="003E2394"/>
    <w:rsid w:val="003E2747"/>
    <w:rsid w:val="003E73AE"/>
    <w:rsid w:val="003E7C5C"/>
    <w:rsid w:val="003F133E"/>
    <w:rsid w:val="003F2BF4"/>
    <w:rsid w:val="003F4A67"/>
    <w:rsid w:val="003F576B"/>
    <w:rsid w:val="004023F9"/>
    <w:rsid w:val="00402FD1"/>
    <w:rsid w:val="004032B6"/>
    <w:rsid w:val="004054EA"/>
    <w:rsid w:val="004071FD"/>
    <w:rsid w:val="004151DD"/>
    <w:rsid w:val="00425622"/>
    <w:rsid w:val="00425D55"/>
    <w:rsid w:val="0042658D"/>
    <w:rsid w:val="00427590"/>
    <w:rsid w:val="0043285D"/>
    <w:rsid w:val="00432E1D"/>
    <w:rsid w:val="00437E08"/>
    <w:rsid w:val="004422C2"/>
    <w:rsid w:val="0044282E"/>
    <w:rsid w:val="00445002"/>
    <w:rsid w:val="0044587A"/>
    <w:rsid w:val="00447E7F"/>
    <w:rsid w:val="004503DF"/>
    <w:rsid w:val="00450852"/>
    <w:rsid w:val="00450C01"/>
    <w:rsid w:val="00453411"/>
    <w:rsid w:val="00454399"/>
    <w:rsid w:val="00464636"/>
    <w:rsid w:val="004654B3"/>
    <w:rsid w:val="0046687E"/>
    <w:rsid w:val="004669B9"/>
    <w:rsid w:val="00466B03"/>
    <w:rsid w:val="00467FE9"/>
    <w:rsid w:val="0047047D"/>
    <w:rsid w:val="00470C79"/>
    <w:rsid w:val="00472464"/>
    <w:rsid w:val="00472CCB"/>
    <w:rsid w:val="004768AF"/>
    <w:rsid w:val="004842E8"/>
    <w:rsid w:val="00485670"/>
    <w:rsid w:val="00485888"/>
    <w:rsid w:val="00485BA9"/>
    <w:rsid w:val="00485FF0"/>
    <w:rsid w:val="00493B1D"/>
    <w:rsid w:val="00494AB2"/>
    <w:rsid w:val="00495665"/>
    <w:rsid w:val="00495FF7"/>
    <w:rsid w:val="0049742A"/>
    <w:rsid w:val="004A5E76"/>
    <w:rsid w:val="004A6C3E"/>
    <w:rsid w:val="004B3194"/>
    <w:rsid w:val="004B394D"/>
    <w:rsid w:val="004B6D5B"/>
    <w:rsid w:val="004C089C"/>
    <w:rsid w:val="004C0AE4"/>
    <w:rsid w:val="004C390A"/>
    <w:rsid w:val="004C4898"/>
    <w:rsid w:val="004C4A11"/>
    <w:rsid w:val="004C5B24"/>
    <w:rsid w:val="004D1350"/>
    <w:rsid w:val="004D14B5"/>
    <w:rsid w:val="004D1A7B"/>
    <w:rsid w:val="004D37E8"/>
    <w:rsid w:val="004D598D"/>
    <w:rsid w:val="004D69A4"/>
    <w:rsid w:val="004D6B9E"/>
    <w:rsid w:val="004E197E"/>
    <w:rsid w:val="004E5286"/>
    <w:rsid w:val="004E643F"/>
    <w:rsid w:val="004F069E"/>
    <w:rsid w:val="004F286A"/>
    <w:rsid w:val="004F3C0E"/>
    <w:rsid w:val="004F714F"/>
    <w:rsid w:val="0050118B"/>
    <w:rsid w:val="005012E9"/>
    <w:rsid w:val="005020E8"/>
    <w:rsid w:val="00502A69"/>
    <w:rsid w:val="0050448B"/>
    <w:rsid w:val="0050525B"/>
    <w:rsid w:val="00510E9F"/>
    <w:rsid w:val="00511FE7"/>
    <w:rsid w:val="00515B65"/>
    <w:rsid w:val="00517058"/>
    <w:rsid w:val="00517F2D"/>
    <w:rsid w:val="00520BD6"/>
    <w:rsid w:val="0052148B"/>
    <w:rsid w:val="00524A54"/>
    <w:rsid w:val="00530C99"/>
    <w:rsid w:val="00533D1E"/>
    <w:rsid w:val="005343E1"/>
    <w:rsid w:val="00535245"/>
    <w:rsid w:val="005358CF"/>
    <w:rsid w:val="00535F77"/>
    <w:rsid w:val="00536A47"/>
    <w:rsid w:val="00540381"/>
    <w:rsid w:val="00544D71"/>
    <w:rsid w:val="005469B2"/>
    <w:rsid w:val="00550DB6"/>
    <w:rsid w:val="00550F88"/>
    <w:rsid w:val="00552EEA"/>
    <w:rsid w:val="005555FA"/>
    <w:rsid w:val="00555A14"/>
    <w:rsid w:val="00555F03"/>
    <w:rsid w:val="0055708F"/>
    <w:rsid w:val="00557360"/>
    <w:rsid w:val="00560192"/>
    <w:rsid w:val="00560EFC"/>
    <w:rsid w:val="00562198"/>
    <w:rsid w:val="00563A95"/>
    <w:rsid w:val="00564686"/>
    <w:rsid w:val="00570626"/>
    <w:rsid w:val="0057232E"/>
    <w:rsid w:val="0057284C"/>
    <w:rsid w:val="00572CAB"/>
    <w:rsid w:val="005742F3"/>
    <w:rsid w:val="005757F8"/>
    <w:rsid w:val="005800C2"/>
    <w:rsid w:val="005806C1"/>
    <w:rsid w:val="005823B8"/>
    <w:rsid w:val="00584534"/>
    <w:rsid w:val="00585A71"/>
    <w:rsid w:val="00587D3B"/>
    <w:rsid w:val="005901FD"/>
    <w:rsid w:val="00591208"/>
    <w:rsid w:val="00591C37"/>
    <w:rsid w:val="0059701F"/>
    <w:rsid w:val="005A0490"/>
    <w:rsid w:val="005A0D3A"/>
    <w:rsid w:val="005A3B30"/>
    <w:rsid w:val="005A4F44"/>
    <w:rsid w:val="005B10A0"/>
    <w:rsid w:val="005B29EA"/>
    <w:rsid w:val="005B3049"/>
    <w:rsid w:val="005B3E1E"/>
    <w:rsid w:val="005B44BB"/>
    <w:rsid w:val="005B44FF"/>
    <w:rsid w:val="005C4000"/>
    <w:rsid w:val="005C5597"/>
    <w:rsid w:val="005D21C3"/>
    <w:rsid w:val="005D2369"/>
    <w:rsid w:val="005D48DD"/>
    <w:rsid w:val="005D6898"/>
    <w:rsid w:val="005D7007"/>
    <w:rsid w:val="005E1309"/>
    <w:rsid w:val="005E2343"/>
    <w:rsid w:val="005E2566"/>
    <w:rsid w:val="005E3EAF"/>
    <w:rsid w:val="005E4853"/>
    <w:rsid w:val="005E4CAC"/>
    <w:rsid w:val="005F23D2"/>
    <w:rsid w:val="005F4006"/>
    <w:rsid w:val="00605082"/>
    <w:rsid w:val="006059B3"/>
    <w:rsid w:val="00605C2B"/>
    <w:rsid w:val="006118F6"/>
    <w:rsid w:val="006121BB"/>
    <w:rsid w:val="00614389"/>
    <w:rsid w:val="00614B98"/>
    <w:rsid w:val="00616E8D"/>
    <w:rsid w:val="00624566"/>
    <w:rsid w:val="006274E6"/>
    <w:rsid w:val="00630C54"/>
    <w:rsid w:val="00631BAA"/>
    <w:rsid w:val="00632664"/>
    <w:rsid w:val="0063339F"/>
    <w:rsid w:val="00635666"/>
    <w:rsid w:val="00635B55"/>
    <w:rsid w:val="0063691B"/>
    <w:rsid w:val="00646E4D"/>
    <w:rsid w:val="006472B0"/>
    <w:rsid w:val="006508E9"/>
    <w:rsid w:val="00650CB8"/>
    <w:rsid w:val="0065239C"/>
    <w:rsid w:val="00653E82"/>
    <w:rsid w:val="00663B63"/>
    <w:rsid w:val="00665EA1"/>
    <w:rsid w:val="0066774F"/>
    <w:rsid w:val="00670380"/>
    <w:rsid w:val="00670D23"/>
    <w:rsid w:val="00672051"/>
    <w:rsid w:val="00680FAB"/>
    <w:rsid w:val="00681C3B"/>
    <w:rsid w:val="006830DB"/>
    <w:rsid w:val="00683EAC"/>
    <w:rsid w:val="0068751B"/>
    <w:rsid w:val="0069225B"/>
    <w:rsid w:val="00692B7D"/>
    <w:rsid w:val="00696A0D"/>
    <w:rsid w:val="00697245"/>
    <w:rsid w:val="00697B94"/>
    <w:rsid w:val="006A3E62"/>
    <w:rsid w:val="006A4A43"/>
    <w:rsid w:val="006A5117"/>
    <w:rsid w:val="006A5EB2"/>
    <w:rsid w:val="006A6631"/>
    <w:rsid w:val="006B02F0"/>
    <w:rsid w:val="006B091B"/>
    <w:rsid w:val="006B2CD6"/>
    <w:rsid w:val="006B4F68"/>
    <w:rsid w:val="006B6446"/>
    <w:rsid w:val="006C230F"/>
    <w:rsid w:val="006C4CAE"/>
    <w:rsid w:val="006C647B"/>
    <w:rsid w:val="006D13D2"/>
    <w:rsid w:val="006D7945"/>
    <w:rsid w:val="006E2487"/>
    <w:rsid w:val="006E509C"/>
    <w:rsid w:val="006F0950"/>
    <w:rsid w:val="006F5BDA"/>
    <w:rsid w:val="006F63A0"/>
    <w:rsid w:val="006F67FC"/>
    <w:rsid w:val="006F6E73"/>
    <w:rsid w:val="006F6EE4"/>
    <w:rsid w:val="007026E0"/>
    <w:rsid w:val="00703205"/>
    <w:rsid w:val="00704CA2"/>
    <w:rsid w:val="007078AE"/>
    <w:rsid w:val="007119D8"/>
    <w:rsid w:val="00711BFE"/>
    <w:rsid w:val="0071484D"/>
    <w:rsid w:val="00715293"/>
    <w:rsid w:val="00736D79"/>
    <w:rsid w:val="00737961"/>
    <w:rsid w:val="00737A43"/>
    <w:rsid w:val="00741D8C"/>
    <w:rsid w:val="0074672C"/>
    <w:rsid w:val="0075006F"/>
    <w:rsid w:val="00751161"/>
    <w:rsid w:val="00752DE1"/>
    <w:rsid w:val="00753A87"/>
    <w:rsid w:val="00755F08"/>
    <w:rsid w:val="00762D68"/>
    <w:rsid w:val="00765957"/>
    <w:rsid w:val="00770486"/>
    <w:rsid w:val="007769B9"/>
    <w:rsid w:val="00777A02"/>
    <w:rsid w:val="007808C3"/>
    <w:rsid w:val="007826F9"/>
    <w:rsid w:val="007832CE"/>
    <w:rsid w:val="00787AE5"/>
    <w:rsid w:val="0079276F"/>
    <w:rsid w:val="00795E5A"/>
    <w:rsid w:val="007A19A0"/>
    <w:rsid w:val="007A3B40"/>
    <w:rsid w:val="007A5BCE"/>
    <w:rsid w:val="007A7539"/>
    <w:rsid w:val="007B05F9"/>
    <w:rsid w:val="007B3BA0"/>
    <w:rsid w:val="007B400B"/>
    <w:rsid w:val="007B462D"/>
    <w:rsid w:val="007B6A32"/>
    <w:rsid w:val="007C2AED"/>
    <w:rsid w:val="007C789E"/>
    <w:rsid w:val="007D7109"/>
    <w:rsid w:val="007E3BF5"/>
    <w:rsid w:val="007E6C0B"/>
    <w:rsid w:val="007F1DB2"/>
    <w:rsid w:val="007F5738"/>
    <w:rsid w:val="007F662A"/>
    <w:rsid w:val="00802E56"/>
    <w:rsid w:val="00805B55"/>
    <w:rsid w:val="00805BDF"/>
    <w:rsid w:val="008119A3"/>
    <w:rsid w:val="008154B3"/>
    <w:rsid w:val="008200F9"/>
    <w:rsid w:val="00820E25"/>
    <w:rsid w:val="0082396A"/>
    <w:rsid w:val="008239C3"/>
    <w:rsid w:val="00823DCF"/>
    <w:rsid w:val="00824246"/>
    <w:rsid w:val="0082481F"/>
    <w:rsid w:val="008248D1"/>
    <w:rsid w:val="00825B17"/>
    <w:rsid w:val="0082713F"/>
    <w:rsid w:val="0082768F"/>
    <w:rsid w:val="00830F7C"/>
    <w:rsid w:val="00840061"/>
    <w:rsid w:val="00840412"/>
    <w:rsid w:val="00850163"/>
    <w:rsid w:val="00850763"/>
    <w:rsid w:val="00850A56"/>
    <w:rsid w:val="00853B42"/>
    <w:rsid w:val="00854BC1"/>
    <w:rsid w:val="00855070"/>
    <w:rsid w:val="0086411F"/>
    <w:rsid w:val="00865AA9"/>
    <w:rsid w:val="00866DC4"/>
    <w:rsid w:val="00870339"/>
    <w:rsid w:val="00870F4B"/>
    <w:rsid w:val="008720D6"/>
    <w:rsid w:val="008731AD"/>
    <w:rsid w:val="008749E1"/>
    <w:rsid w:val="0088327C"/>
    <w:rsid w:val="00884395"/>
    <w:rsid w:val="008846A5"/>
    <w:rsid w:val="00884DF9"/>
    <w:rsid w:val="008854DF"/>
    <w:rsid w:val="00887350"/>
    <w:rsid w:val="0089102F"/>
    <w:rsid w:val="00895027"/>
    <w:rsid w:val="008968F6"/>
    <w:rsid w:val="008970A8"/>
    <w:rsid w:val="008A52A3"/>
    <w:rsid w:val="008A5795"/>
    <w:rsid w:val="008A5DE2"/>
    <w:rsid w:val="008A6C29"/>
    <w:rsid w:val="008A7924"/>
    <w:rsid w:val="008B00D3"/>
    <w:rsid w:val="008B1A55"/>
    <w:rsid w:val="008B1F0F"/>
    <w:rsid w:val="008B3A34"/>
    <w:rsid w:val="008B6B99"/>
    <w:rsid w:val="008B6DD6"/>
    <w:rsid w:val="008C1900"/>
    <w:rsid w:val="008C2492"/>
    <w:rsid w:val="008C2A35"/>
    <w:rsid w:val="008C3962"/>
    <w:rsid w:val="008C430B"/>
    <w:rsid w:val="008C44E7"/>
    <w:rsid w:val="008C53AD"/>
    <w:rsid w:val="008C61F0"/>
    <w:rsid w:val="008C6F6C"/>
    <w:rsid w:val="008C7486"/>
    <w:rsid w:val="008C7AED"/>
    <w:rsid w:val="008D5C76"/>
    <w:rsid w:val="008D70AC"/>
    <w:rsid w:val="008E075D"/>
    <w:rsid w:val="008E0CF6"/>
    <w:rsid w:val="008E2E27"/>
    <w:rsid w:val="008E332D"/>
    <w:rsid w:val="008E34E0"/>
    <w:rsid w:val="008F05DB"/>
    <w:rsid w:val="008F0D50"/>
    <w:rsid w:val="008F49E1"/>
    <w:rsid w:val="008F6233"/>
    <w:rsid w:val="008F74E1"/>
    <w:rsid w:val="00901BE0"/>
    <w:rsid w:val="00903926"/>
    <w:rsid w:val="0090566D"/>
    <w:rsid w:val="00906125"/>
    <w:rsid w:val="00911598"/>
    <w:rsid w:val="009212C3"/>
    <w:rsid w:val="00921698"/>
    <w:rsid w:val="00923FC0"/>
    <w:rsid w:val="00924D86"/>
    <w:rsid w:val="00930D16"/>
    <w:rsid w:val="00936A56"/>
    <w:rsid w:val="00940019"/>
    <w:rsid w:val="0094140B"/>
    <w:rsid w:val="00943DFF"/>
    <w:rsid w:val="00951E76"/>
    <w:rsid w:val="00956D6C"/>
    <w:rsid w:val="0096156C"/>
    <w:rsid w:val="00961A1E"/>
    <w:rsid w:val="0096295F"/>
    <w:rsid w:val="0096327E"/>
    <w:rsid w:val="009636DA"/>
    <w:rsid w:val="00964104"/>
    <w:rsid w:val="00965CFF"/>
    <w:rsid w:val="00980DAD"/>
    <w:rsid w:val="0098196B"/>
    <w:rsid w:val="00983130"/>
    <w:rsid w:val="00983FEF"/>
    <w:rsid w:val="009861FF"/>
    <w:rsid w:val="00986DCF"/>
    <w:rsid w:val="0099119B"/>
    <w:rsid w:val="0099240D"/>
    <w:rsid w:val="00994F2F"/>
    <w:rsid w:val="009A052A"/>
    <w:rsid w:val="009A292F"/>
    <w:rsid w:val="009A7928"/>
    <w:rsid w:val="009B135D"/>
    <w:rsid w:val="009B3691"/>
    <w:rsid w:val="009B4854"/>
    <w:rsid w:val="009B66F7"/>
    <w:rsid w:val="009C307D"/>
    <w:rsid w:val="009C504D"/>
    <w:rsid w:val="009C797F"/>
    <w:rsid w:val="009D0AC9"/>
    <w:rsid w:val="009D1737"/>
    <w:rsid w:val="009D1C63"/>
    <w:rsid w:val="009D31A7"/>
    <w:rsid w:val="009D3F1E"/>
    <w:rsid w:val="009D45A0"/>
    <w:rsid w:val="009D4EFA"/>
    <w:rsid w:val="009D5F26"/>
    <w:rsid w:val="009D6876"/>
    <w:rsid w:val="009D7CA3"/>
    <w:rsid w:val="009E3AFD"/>
    <w:rsid w:val="009E407C"/>
    <w:rsid w:val="009E5131"/>
    <w:rsid w:val="009E65BC"/>
    <w:rsid w:val="009E69BF"/>
    <w:rsid w:val="009F2933"/>
    <w:rsid w:val="009F37A3"/>
    <w:rsid w:val="009F7962"/>
    <w:rsid w:val="00A01B77"/>
    <w:rsid w:val="00A04767"/>
    <w:rsid w:val="00A047DF"/>
    <w:rsid w:val="00A04E6A"/>
    <w:rsid w:val="00A05BCC"/>
    <w:rsid w:val="00A05DE5"/>
    <w:rsid w:val="00A12E2F"/>
    <w:rsid w:val="00A20E7A"/>
    <w:rsid w:val="00A24F95"/>
    <w:rsid w:val="00A271B2"/>
    <w:rsid w:val="00A31076"/>
    <w:rsid w:val="00A37BD1"/>
    <w:rsid w:val="00A4070F"/>
    <w:rsid w:val="00A40855"/>
    <w:rsid w:val="00A43AD4"/>
    <w:rsid w:val="00A43DA9"/>
    <w:rsid w:val="00A4530C"/>
    <w:rsid w:val="00A46138"/>
    <w:rsid w:val="00A47712"/>
    <w:rsid w:val="00A51293"/>
    <w:rsid w:val="00A52073"/>
    <w:rsid w:val="00A52900"/>
    <w:rsid w:val="00A53DDF"/>
    <w:rsid w:val="00A60519"/>
    <w:rsid w:val="00A610FF"/>
    <w:rsid w:val="00A626A0"/>
    <w:rsid w:val="00A65154"/>
    <w:rsid w:val="00A65746"/>
    <w:rsid w:val="00A729E6"/>
    <w:rsid w:val="00A7547B"/>
    <w:rsid w:val="00A7589B"/>
    <w:rsid w:val="00A75F10"/>
    <w:rsid w:val="00A851D5"/>
    <w:rsid w:val="00A90438"/>
    <w:rsid w:val="00A92EE6"/>
    <w:rsid w:val="00A92F06"/>
    <w:rsid w:val="00AA038C"/>
    <w:rsid w:val="00AA22FD"/>
    <w:rsid w:val="00AA4B07"/>
    <w:rsid w:val="00AA576F"/>
    <w:rsid w:val="00AA5A54"/>
    <w:rsid w:val="00AB016D"/>
    <w:rsid w:val="00AB04EB"/>
    <w:rsid w:val="00AB285D"/>
    <w:rsid w:val="00AB2FCB"/>
    <w:rsid w:val="00AB41B0"/>
    <w:rsid w:val="00AB4AD5"/>
    <w:rsid w:val="00AB7937"/>
    <w:rsid w:val="00AB7CCC"/>
    <w:rsid w:val="00AC58C3"/>
    <w:rsid w:val="00AD1319"/>
    <w:rsid w:val="00AD14C9"/>
    <w:rsid w:val="00AD20F4"/>
    <w:rsid w:val="00AD57A7"/>
    <w:rsid w:val="00AE2811"/>
    <w:rsid w:val="00AE2F67"/>
    <w:rsid w:val="00AE5DAD"/>
    <w:rsid w:val="00AE60B5"/>
    <w:rsid w:val="00AE6ECE"/>
    <w:rsid w:val="00AF035C"/>
    <w:rsid w:val="00AF283B"/>
    <w:rsid w:val="00B03450"/>
    <w:rsid w:val="00B04BD5"/>
    <w:rsid w:val="00B10FBB"/>
    <w:rsid w:val="00B11822"/>
    <w:rsid w:val="00B132B4"/>
    <w:rsid w:val="00B13428"/>
    <w:rsid w:val="00B13DF3"/>
    <w:rsid w:val="00B150DE"/>
    <w:rsid w:val="00B160F6"/>
    <w:rsid w:val="00B16546"/>
    <w:rsid w:val="00B1754C"/>
    <w:rsid w:val="00B20C1F"/>
    <w:rsid w:val="00B214D6"/>
    <w:rsid w:val="00B2312A"/>
    <w:rsid w:val="00B258C3"/>
    <w:rsid w:val="00B35959"/>
    <w:rsid w:val="00B41134"/>
    <w:rsid w:val="00B4320C"/>
    <w:rsid w:val="00B4491B"/>
    <w:rsid w:val="00B44EFF"/>
    <w:rsid w:val="00B45F62"/>
    <w:rsid w:val="00B51004"/>
    <w:rsid w:val="00B57815"/>
    <w:rsid w:val="00B57C3D"/>
    <w:rsid w:val="00B62EE2"/>
    <w:rsid w:val="00B70FE9"/>
    <w:rsid w:val="00B72685"/>
    <w:rsid w:val="00B7382D"/>
    <w:rsid w:val="00B747E3"/>
    <w:rsid w:val="00B76237"/>
    <w:rsid w:val="00B76993"/>
    <w:rsid w:val="00B76F3F"/>
    <w:rsid w:val="00B77675"/>
    <w:rsid w:val="00B936CE"/>
    <w:rsid w:val="00B939CE"/>
    <w:rsid w:val="00B93E19"/>
    <w:rsid w:val="00B9407A"/>
    <w:rsid w:val="00B96FDB"/>
    <w:rsid w:val="00BA0746"/>
    <w:rsid w:val="00BA28BF"/>
    <w:rsid w:val="00BA2960"/>
    <w:rsid w:val="00BA4E86"/>
    <w:rsid w:val="00BA53E2"/>
    <w:rsid w:val="00BA6223"/>
    <w:rsid w:val="00BA78E6"/>
    <w:rsid w:val="00BA7D3A"/>
    <w:rsid w:val="00BB51EB"/>
    <w:rsid w:val="00BB6F6F"/>
    <w:rsid w:val="00BC2B95"/>
    <w:rsid w:val="00BC47EA"/>
    <w:rsid w:val="00BC5C8C"/>
    <w:rsid w:val="00BC7626"/>
    <w:rsid w:val="00BC77BA"/>
    <w:rsid w:val="00BD033F"/>
    <w:rsid w:val="00BD05C4"/>
    <w:rsid w:val="00BD3733"/>
    <w:rsid w:val="00BD4013"/>
    <w:rsid w:val="00BE5062"/>
    <w:rsid w:val="00BE54F1"/>
    <w:rsid w:val="00BE5DD6"/>
    <w:rsid w:val="00BE648E"/>
    <w:rsid w:val="00BE6CB1"/>
    <w:rsid w:val="00BF1036"/>
    <w:rsid w:val="00BF1081"/>
    <w:rsid w:val="00BF1754"/>
    <w:rsid w:val="00BF1DD1"/>
    <w:rsid w:val="00BF32F5"/>
    <w:rsid w:val="00BF334A"/>
    <w:rsid w:val="00BF705A"/>
    <w:rsid w:val="00BF76A8"/>
    <w:rsid w:val="00C03097"/>
    <w:rsid w:val="00C05156"/>
    <w:rsid w:val="00C115C2"/>
    <w:rsid w:val="00C11E7A"/>
    <w:rsid w:val="00C13277"/>
    <w:rsid w:val="00C15A6B"/>
    <w:rsid w:val="00C2479F"/>
    <w:rsid w:val="00C24902"/>
    <w:rsid w:val="00C33A5F"/>
    <w:rsid w:val="00C369A6"/>
    <w:rsid w:val="00C3706F"/>
    <w:rsid w:val="00C4460D"/>
    <w:rsid w:val="00C46063"/>
    <w:rsid w:val="00C46CEF"/>
    <w:rsid w:val="00C51397"/>
    <w:rsid w:val="00C5373D"/>
    <w:rsid w:val="00C563F6"/>
    <w:rsid w:val="00C63030"/>
    <w:rsid w:val="00C63704"/>
    <w:rsid w:val="00C64D38"/>
    <w:rsid w:val="00C7035F"/>
    <w:rsid w:val="00C71574"/>
    <w:rsid w:val="00C7557D"/>
    <w:rsid w:val="00C75EF5"/>
    <w:rsid w:val="00C7626D"/>
    <w:rsid w:val="00C76DBF"/>
    <w:rsid w:val="00C770E0"/>
    <w:rsid w:val="00C85E4E"/>
    <w:rsid w:val="00C86A5C"/>
    <w:rsid w:val="00C917CF"/>
    <w:rsid w:val="00C96291"/>
    <w:rsid w:val="00CA01B5"/>
    <w:rsid w:val="00CA071D"/>
    <w:rsid w:val="00CA0E68"/>
    <w:rsid w:val="00CA279E"/>
    <w:rsid w:val="00CA475E"/>
    <w:rsid w:val="00CA4A90"/>
    <w:rsid w:val="00CB12A3"/>
    <w:rsid w:val="00CB3A2B"/>
    <w:rsid w:val="00CB7E97"/>
    <w:rsid w:val="00CC1EE7"/>
    <w:rsid w:val="00CC2816"/>
    <w:rsid w:val="00CC34EF"/>
    <w:rsid w:val="00CC494B"/>
    <w:rsid w:val="00CC7024"/>
    <w:rsid w:val="00CC7B76"/>
    <w:rsid w:val="00CD49AF"/>
    <w:rsid w:val="00CD77E8"/>
    <w:rsid w:val="00CE0C4B"/>
    <w:rsid w:val="00CE10E4"/>
    <w:rsid w:val="00CE378A"/>
    <w:rsid w:val="00CE398C"/>
    <w:rsid w:val="00CE67E1"/>
    <w:rsid w:val="00CE7450"/>
    <w:rsid w:val="00CF14A5"/>
    <w:rsid w:val="00CF15C3"/>
    <w:rsid w:val="00CF32E9"/>
    <w:rsid w:val="00CF53BD"/>
    <w:rsid w:val="00CF5DCF"/>
    <w:rsid w:val="00CF775F"/>
    <w:rsid w:val="00CF7DB3"/>
    <w:rsid w:val="00D00045"/>
    <w:rsid w:val="00D0115A"/>
    <w:rsid w:val="00D02EF6"/>
    <w:rsid w:val="00D15D2F"/>
    <w:rsid w:val="00D17249"/>
    <w:rsid w:val="00D20393"/>
    <w:rsid w:val="00D21486"/>
    <w:rsid w:val="00D21B07"/>
    <w:rsid w:val="00D23C39"/>
    <w:rsid w:val="00D25AC2"/>
    <w:rsid w:val="00D2765C"/>
    <w:rsid w:val="00D3123E"/>
    <w:rsid w:val="00D43DFF"/>
    <w:rsid w:val="00D47542"/>
    <w:rsid w:val="00D52BED"/>
    <w:rsid w:val="00D53FA3"/>
    <w:rsid w:val="00D55E80"/>
    <w:rsid w:val="00D562A2"/>
    <w:rsid w:val="00D60495"/>
    <w:rsid w:val="00D617C2"/>
    <w:rsid w:val="00D6255C"/>
    <w:rsid w:val="00D6650D"/>
    <w:rsid w:val="00D705A2"/>
    <w:rsid w:val="00D72082"/>
    <w:rsid w:val="00D77948"/>
    <w:rsid w:val="00D8312D"/>
    <w:rsid w:val="00D84025"/>
    <w:rsid w:val="00D8631B"/>
    <w:rsid w:val="00D86563"/>
    <w:rsid w:val="00D86B10"/>
    <w:rsid w:val="00D872C4"/>
    <w:rsid w:val="00D876BD"/>
    <w:rsid w:val="00D941DF"/>
    <w:rsid w:val="00D94256"/>
    <w:rsid w:val="00D95CAA"/>
    <w:rsid w:val="00D97A7F"/>
    <w:rsid w:val="00DA170D"/>
    <w:rsid w:val="00DA46F2"/>
    <w:rsid w:val="00DA60EE"/>
    <w:rsid w:val="00DB0AF8"/>
    <w:rsid w:val="00DB4732"/>
    <w:rsid w:val="00DB4F9A"/>
    <w:rsid w:val="00DB72C9"/>
    <w:rsid w:val="00DC042D"/>
    <w:rsid w:val="00DC1BF0"/>
    <w:rsid w:val="00DC2CDE"/>
    <w:rsid w:val="00DC5613"/>
    <w:rsid w:val="00DC5712"/>
    <w:rsid w:val="00DC5903"/>
    <w:rsid w:val="00DC7F91"/>
    <w:rsid w:val="00DD2EE3"/>
    <w:rsid w:val="00DD54DB"/>
    <w:rsid w:val="00DD6865"/>
    <w:rsid w:val="00DD7806"/>
    <w:rsid w:val="00DE1E51"/>
    <w:rsid w:val="00DE2BC3"/>
    <w:rsid w:val="00DE456C"/>
    <w:rsid w:val="00DE4A91"/>
    <w:rsid w:val="00DE5248"/>
    <w:rsid w:val="00DF214C"/>
    <w:rsid w:val="00DF21CB"/>
    <w:rsid w:val="00DF2679"/>
    <w:rsid w:val="00DF348D"/>
    <w:rsid w:val="00DF4E5D"/>
    <w:rsid w:val="00DF6672"/>
    <w:rsid w:val="00E00BB1"/>
    <w:rsid w:val="00E01CA7"/>
    <w:rsid w:val="00E020EB"/>
    <w:rsid w:val="00E029F0"/>
    <w:rsid w:val="00E03CB5"/>
    <w:rsid w:val="00E03E61"/>
    <w:rsid w:val="00E0633E"/>
    <w:rsid w:val="00E07A41"/>
    <w:rsid w:val="00E133D3"/>
    <w:rsid w:val="00E14ED7"/>
    <w:rsid w:val="00E16D03"/>
    <w:rsid w:val="00E173A1"/>
    <w:rsid w:val="00E237F7"/>
    <w:rsid w:val="00E252A3"/>
    <w:rsid w:val="00E26809"/>
    <w:rsid w:val="00E26D71"/>
    <w:rsid w:val="00E27F8D"/>
    <w:rsid w:val="00E30133"/>
    <w:rsid w:val="00E31B5D"/>
    <w:rsid w:val="00E35F2C"/>
    <w:rsid w:val="00E366AA"/>
    <w:rsid w:val="00E37975"/>
    <w:rsid w:val="00E41861"/>
    <w:rsid w:val="00E458B8"/>
    <w:rsid w:val="00E55D4D"/>
    <w:rsid w:val="00E565D9"/>
    <w:rsid w:val="00E600A0"/>
    <w:rsid w:val="00E600FA"/>
    <w:rsid w:val="00E60268"/>
    <w:rsid w:val="00E6036F"/>
    <w:rsid w:val="00E634F1"/>
    <w:rsid w:val="00E65146"/>
    <w:rsid w:val="00E658F6"/>
    <w:rsid w:val="00E67B5D"/>
    <w:rsid w:val="00E71A65"/>
    <w:rsid w:val="00E738AD"/>
    <w:rsid w:val="00E751CD"/>
    <w:rsid w:val="00E76476"/>
    <w:rsid w:val="00E80BB0"/>
    <w:rsid w:val="00E81E52"/>
    <w:rsid w:val="00E86A31"/>
    <w:rsid w:val="00E90104"/>
    <w:rsid w:val="00E90919"/>
    <w:rsid w:val="00E91585"/>
    <w:rsid w:val="00E93D00"/>
    <w:rsid w:val="00E966AA"/>
    <w:rsid w:val="00E97B11"/>
    <w:rsid w:val="00E97D4C"/>
    <w:rsid w:val="00EA1258"/>
    <w:rsid w:val="00EA31C1"/>
    <w:rsid w:val="00EA38DC"/>
    <w:rsid w:val="00EA42FE"/>
    <w:rsid w:val="00EA4817"/>
    <w:rsid w:val="00EA5950"/>
    <w:rsid w:val="00EB0467"/>
    <w:rsid w:val="00EB5049"/>
    <w:rsid w:val="00EB598B"/>
    <w:rsid w:val="00EB6611"/>
    <w:rsid w:val="00EB6FDF"/>
    <w:rsid w:val="00EB7EE8"/>
    <w:rsid w:val="00EC0B46"/>
    <w:rsid w:val="00EC1F10"/>
    <w:rsid w:val="00EC3313"/>
    <w:rsid w:val="00EC73B0"/>
    <w:rsid w:val="00EC7E1C"/>
    <w:rsid w:val="00ED376D"/>
    <w:rsid w:val="00ED3DC8"/>
    <w:rsid w:val="00ED4456"/>
    <w:rsid w:val="00ED4E59"/>
    <w:rsid w:val="00ED5856"/>
    <w:rsid w:val="00ED5C49"/>
    <w:rsid w:val="00ED7253"/>
    <w:rsid w:val="00EE0347"/>
    <w:rsid w:val="00EE0B49"/>
    <w:rsid w:val="00EE11DB"/>
    <w:rsid w:val="00EE317F"/>
    <w:rsid w:val="00EE3914"/>
    <w:rsid w:val="00EF0EAB"/>
    <w:rsid w:val="00EF135A"/>
    <w:rsid w:val="00EF4DF9"/>
    <w:rsid w:val="00EF4FB6"/>
    <w:rsid w:val="00EF694D"/>
    <w:rsid w:val="00F0054B"/>
    <w:rsid w:val="00F02057"/>
    <w:rsid w:val="00F02AF8"/>
    <w:rsid w:val="00F07A24"/>
    <w:rsid w:val="00F10876"/>
    <w:rsid w:val="00F10EF5"/>
    <w:rsid w:val="00F140CB"/>
    <w:rsid w:val="00F14C29"/>
    <w:rsid w:val="00F16A50"/>
    <w:rsid w:val="00F20069"/>
    <w:rsid w:val="00F20A94"/>
    <w:rsid w:val="00F253AB"/>
    <w:rsid w:val="00F27495"/>
    <w:rsid w:val="00F3147E"/>
    <w:rsid w:val="00F3271E"/>
    <w:rsid w:val="00F33413"/>
    <w:rsid w:val="00F3394A"/>
    <w:rsid w:val="00F347D0"/>
    <w:rsid w:val="00F35C19"/>
    <w:rsid w:val="00F35DB8"/>
    <w:rsid w:val="00F36C51"/>
    <w:rsid w:val="00F50A49"/>
    <w:rsid w:val="00F51035"/>
    <w:rsid w:val="00F5120F"/>
    <w:rsid w:val="00F523BA"/>
    <w:rsid w:val="00F53C28"/>
    <w:rsid w:val="00F600C6"/>
    <w:rsid w:val="00F60869"/>
    <w:rsid w:val="00F60E20"/>
    <w:rsid w:val="00F630E5"/>
    <w:rsid w:val="00F63B96"/>
    <w:rsid w:val="00F64925"/>
    <w:rsid w:val="00F649FC"/>
    <w:rsid w:val="00F66557"/>
    <w:rsid w:val="00F72076"/>
    <w:rsid w:val="00F72265"/>
    <w:rsid w:val="00F75051"/>
    <w:rsid w:val="00F83628"/>
    <w:rsid w:val="00F85633"/>
    <w:rsid w:val="00F92DA3"/>
    <w:rsid w:val="00F95445"/>
    <w:rsid w:val="00F97DBC"/>
    <w:rsid w:val="00FA113B"/>
    <w:rsid w:val="00FA7376"/>
    <w:rsid w:val="00FB0EBF"/>
    <w:rsid w:val="00FB6C02"/>
    <w:rsid w:val="00FB7405"/>
    <w:rsid w:val="00FB7F22"/>
    <w:rsid w:val="00FC0028"/>
    <w:rsid w:val="00FC14F4"/>
    <w:rsid w:val="00FC1D4D"/>
    <w:rsid w:val="00FC6126"/>
    <w:rsid w:val="00FC70E9"/>
    <w:rsid w:val="00FD503A"/>
    <w:rsid w:val="00FD57DF"/>
    <w:rsid w:val="00FD5FB8"/>
    <w:rsid w:val="00FD7594"/>
    <w:rsid w:val="00FE1ED7"/>
    <w:rsid w:val="00FE36FA"/>
    <w:rsid w:val="00FE3D53"/>
    <w:rsid w:val="00FF020E"/>
    <w:rsid w:val="00FF18E0"/>
    <w:rsid w:val="00FF39AD"/>
    <w:rsid w:val="00FF3A88"/>
    <w:rsid w:val="00FF49E6"/>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7A3232F5-32B3-4E71-85AE-A80541C4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
    <w:name w:val="Body Text"/>
    <w:basedOn w:val="Normal"/>
    <w:pPr>
      <w:ind w:right="-864"/>
      <w:jc w:val="both"/>
    </w:pPr>
    <w:rPr>
      <w:b/>
      <w:bCs/>
    </w:rPr>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styleId="BodyText3">
    <w:name w:val="Body Text 3"/>
    <w:basedOn w:val="Normal"/>
    <w:pPr>
      <w:jc w:val="center"/>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right="0" w:firstLine="210"/>
      <w:jc w:val="left"/>
    </w:pPr>
    <w:rPr>
      <w:b w:val="0"/>
    </w:rPr>
  </w:style>
  <w:style w:type="paragraph" w:styleId="BodyTextFirstIndent2">
    <w:name w:val="Body Text First Indent 2"/>
    <w:basedOn w:val="BodyTextIndent"/>
    <w:pPr>
      <w:spacing w:after="120"/>
      <w:ind w:left="360" w:firstLine="210"/>
      <w:jc w:val="left"/>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8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B36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BalloonText">
    <w:name w:val="Balloon Text"/>
    <w:basedOn w:val="Normal"/>
    <w:link w:val="BalloonTextChar"/>
    <w:uiPriority w:val="99"/>
    <w:semiHidden/>
    <w:unhideWhenUsed/>
    <w:rsid w:val="00BE648E"/>
    <w:rPr>
      <w:rFonts w:ascii="Segoe UI" w:hAnsi="Segoe UI" w:cs="Segoe UI"/>
      <w:sz w:val="18"/>
      <w:szCs w:val="18"/>
    </w:rPr>
  </w:style>
  <w:style w:type="character" w:customStyle="1" w:styleId="BalloonTextChar">
    <w:name w:val="Balloon Text Char"/>
    <w:link w:val="BalloonText"/>
    <w:uiPriority w:val="99"/>
    <w:semiHidden/>
    <w:rsid w:val="00BE648E"/>
    <w:rPr>
      <w:rFonts w:ascii="Segoe UI" w:hAnsi="Segoe UI" w:cs="Segoe UI"/>
      <w:sz w:val="18"/>
      <w:szCs w:val="18"/>
      <w:lang w:val="en-GB" w:eastAsia="en-US"/>
    </w:rPr>
  </w:style>
  <w:style w:type="paragraph" w:styleId="ListParagraph">
    <w:name w:val="List Paragraph"/>
    <w:basedOn w:val="Normal"/>
    <w:uiPriority w:val="34"/>
    <w:qFormat/>
    <w:rsid w:val="0003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E402-BA34-4CBD-84B2-840B937F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vt:lpstr>
    </vt:vector>
  </TitlesOfParts>
  <Company>Kim Guan Soon Sdn. Bhd.</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Kim Guan Soon Sdn. Bhd.</dc:creator>
  <cp:keywords/>
  <dc:description/>
  <cp:lastModifiedBy>JOHNLIM-KLSE</cp:lastModifiedBy>
  <cp:revision>4</cp:revision>
  <cp:lastPrinted>2015-11-09T02:48:00Z</cp:lastPrinted>
  <dcterms:created xsi:type="dcterms:W3CDTF">2015-11-21T05:55:00Z</dcterms:created>
  <dcterms:modified xsi:type="dcterms:W3CDTF">2015-11-21T07:55:00Z</dcterms:modified>
</cp:coreProperties>
</file>